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A598" w14:textId="77777777" w:rsidR="0026000D" w:rsidRPr="00642870" w:rsidRDefault="00791885" w:rsidP="00A015F1">
      <w:pPr>
        <w:pStyle w:val="MainTitle"/>
        <w:spacing w:after="60" w:line="204" w:lineRule="auto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3AEFB10" wp14:editId="1AE28FD9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66948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4F4" w:rsidRPr="0064287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53534" wp14:editId="42C6B64D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11658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116580"/>
                          <a:chOff x="0" y="0"/>
                          <a:chExt cx="7772400" cy="311658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08AE3F" w14:textId="77777777" w:rsidR="008864AB" w:rsidRPr="008864AB" w:rsidRDefault="004764F4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Plan Amendments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2560" y="373380"/>
                            <a:ext cx="234696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CE78F" w14:textId="77777777" w:rsidR="00066718" w:rsidRDefault="004764F4" w:rsidP="00F17D2F">
                              <w:pPr>
                                <w:pStyle w:val="BodyText"/>
                                <w:spacing w:after="60"/>
                              </w:pPr>
                              <w:r>
                                <w:t xml:space="preserve">Employers </w:t>
                              </w:r>
                              <w:r w:rsidR="00F17D2F">
                                <w:t>can</w:t>
                              </w:r>
                              <w:r>
                                <w:t xml:space="preserve"> retroactively adopt plan amendments incorporating these provisions.</w:t>
                              </w:r>
                            </w:p>
                            <w:p w14:paraId="47DC4DEA" w14:textId="77777777" w:rsidR="007A250C" w:rsidRDefault="004764F4" w:rsidP="00F17D2F">
                              <w:pPr>
                                <w:pStyle w:val="BodyText"/>
                                <w:spacing w:after="60"/>
                              </w:pPr>
                              <w:r>
                                <w:t>Specific requirements must be met:</w:t>
                              </w:r>
                            </w:p>
                            <w:p w14:paraId="69A5D23D" w14:textId="77777777" w:rsidR="007A250C" w:rsidRDefault="004764F4" w:rsidP="00F17D2F">
                              <w:pPr>
                                <w:pStyle w:val="Bullet"/>
                                <w:spacing w:after="60"/>
                                <w:ind w:left="547"/>
                                <w:jc w:val="left"/>
                              </w:pPr>
                              <w:r>
                                <w:t>The plan must be operated consistently with the amendment terms until the amendment is adopted.</w:t>
                              </w:r>
                            </w:p>
                            <w:p w14:paraId="197F4BE6" w14:textId="77777777" w:rsidR="007A250C" w:rsidRPr="00990C4C" w:rsidRDefault="004764F4" w:rsidP="00F17D2F">
                              <w:pPr>
                                <w:pStyle w:val="Bullet"/>
                                <w:jc w:val="left"/>
                              </w:pPr>
                              <w:r>
                                <w:t xml:space="preserve">The </w:t>
                              </w:r>
                              <w:r>
                                <w:t>amendment must be adopted by the last day of the first calendar year following the plan year in which it is effective.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5.4pt;margin-top:196.8pt;margin-left:-35.4pt;mso-height-relative:margin;mso-position-vertical-relative:page;position:absolute;z-index:-251656192" coordsize="77724,31165">
                <v:group id="Group 15" o:spid="_x0000_s1026" style="width:77724;height:6376;position:absolute" coordsize="77724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4;height:6352;mso-wrap-style:square;position:absolute;top:24;visibility:visible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 w14:paraId="133ADF7F" w14:textId="04E3E5D5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Plan Amendments</w:t>
                          </w:r>
                        </w:p>
                      </w:txbxContent>
                    </v:textbox>
                  </v:shape>
                </v:group>
                <v:shape id="_x0000_s1029" type="#_x0000_t202" style="width:23470;height:27432;left:52425;mso-wrap-style:square;position:absolute;top:3733;visibility:visible;v-text-anchor:top" filled="f" stroked="f">
                  <v:textbox>
                    <w:txbxContent>
                      <w:p w:rsidR="00066718" w:rsidP="00F17D2F" w14:paraId="396DD5C4" w14:textId="71B88D5F">
                        <w:pPr>
                          <w:pStyle w:val="BodyText"/>
                          <w:spacing w:after="60"/>
                        </w:pPr>
                        <w:r>
                          <w:t xml:space="preserve">Employers </w:t>
                        </w:r>
                        <w:r w:rsidR="00F17D2F">
                          <w:t>can</w:t>
                        </w:r>
                        <w:r>
                          <w:t xml:space="preserve"> retroactively adopt plan amendments incorporating these provisions.</w:t>
                        </w:r>
                      </w:p>
                      <w:p w:rsidR="007A250C" w:rsidP="00F17D2F" w14:paraId="3019AA24" w14:textId="2E5DBDA6">
                        <w:pPr>
                          <w:pStyle w:val="BodyText"/>
                          <w:spacing w:after="60"/>
                        </w:pPr>
                        <w:r>
                          <w:t>Specific requirements must be met:</w:t>
                        </w:r>
                      </w:p>
                      <w:p w:rsidR="007A250C" w:rsidP="00F17D2F" w14:paraId="5D4167CA" w14:textId="4DA3E3C0">
                        <w:pPr>
                          <w:pStyle w:val="Bullet"/>
                          <w:spacing w:after="60"/>
                          <w:ind w:left="547"/>
                          <w:jc w:val="left"/>
                        </w:pPr>
                        <w:r>
                          <w:t>The plan must be operated consistently with the amendment terms until the amendment is adopted.</w:t>
                        </w:r>
                      </w:p>
                      <w:p w:rsidR="007A250C" w:rsidRPr="00990C4C" w:rsidP="00F17D2F" w14:paraId="236520C8" w14:textId="28DA191D">
                        <w:pPr>
                          <w:pStyle w:val="Bullet"/>
                          <w:jc w:val="left"/>
                        </w:pPr>
                        <w:r>
                          <w:t>The amendment must be adopted by the last day of the first calendar year following the plan year in which it is effective.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Stimulus Bill Includes Temporary </w:t>
      </w:r>
      <w:r w:rsidR="007240F2">
        <w:t>Special Rules</w:t>
      </w:r>
      <w:r w:rsidR="009E70BF">
        <w:t xml:space="preserve"> </w:t>
      </w:r>
      <w:r w:rsidR="007240F2">
        <w:t>for</w:t>
      </w:r>
      <w:r w:rsidR="00F7014E" w:rsidRPr="00642870">
        <w:t xml:space="preserve"> </w:t>
      </w:r>
      <w:r w:rsidR="007240F2">
        <w:t>FSAs</w:t>
      </w:r>
    </w:p>
    <w:p w14:paraId="6ED9C3A8" w14:textId="77777777" w:rsidR="00EA5EB0" w:rsidRDefault="004764F4" w:rsidP="005F7B88">
      <w:pPr>
        <w:pStyle w:val="BodyText"/>
      </w:pPr>
      <w:r>
        <w:t xml:space="preserve">On </w:t>
      </w:r>
      <w:r w:rsidR="0009416E">
        <w:t>Dec. 2</w:t>
      </w:r>
      <w:r w:rsidR="00216A25">
        <w:t>7</w:t>
      </w:r>
      <w:r w:rsidR="0009416E">
        <w:t>, 2020</w:t>
      </w:r>
      <w:r>
        <w:t xml:space="preserve">, </w:t>
      </w:r>
      <w:r w:rsidR="00F17D2F">
        <w:t>President Trump signed</w:t>
      </w:r>
      <w:r w:rsidR="0009416E">
        <w:t xml:space="preserve"> the </w:t>
      </w:r>
      <w:hyperlink r:id="rId10" w:history="1">
        <w:r w:rsidR="0009416E" w:rsidRPr="00EA5EB0">
          <w:rPr>
            <w:rStyle w:val="Hyperlink"/>
          </w:rPr>
          <w:t>Consolidated Appropriations Act of 2021</w:t>
        </w:r>
      </w:hyperlink>
      <w:r w:rsidR="00F17D2F">
        <w:t xml:space="preserve"> into law.</w:t>
      </w:r>
      <w:r w:rsidR="00791885">
        <w:t xml:space="preserve"> </w:t>
      </w:r>
      <w:r w:rsidR="00F17D2F">
        <w:t>The</w:t>
      </w:r>
      <w:r w:rsidR="00791885">
        <w:t xml:space="preserve"> A</w:t>
      </w:r>
      <w:r w:rsidR="007A250C">
        <w:t>ct</w:t>
      </w:r>
      <w:r w:rsidR="00791885">
        <w:t xml:space="preserve"> provide</w:t>
      </w:r>
      <w:r w:rsidR="00F17D2F">
        <w:t xml:space="preserve">s </w:t>
      </w:r>
      <w:r w:rsidR="0009416E">
        <w:t xml:space="preserve">temporary special rules for </w:t>
      </w:r>
      <w:r>
        <w:t xml:space="preserve">health </w:t>
      </w:r>
      <w:r w:rsidR="0009416E">
        <w:t xml:space="preserve">and dependent care </w:t>
      </w:r>
      <w:r>
        <w:t>flexible spending accounts (FSAs</w:t>
      </w:r>
      <w:r w:rsidR="0009416E">
        <w:t>)</w:t>
      </w:r>
      <w:r w:rsidR="007A250C">
        <w:t xml:space="preserve"> that give employees additional time to use these funds</w:t>
      </w:r>
      <w:r>
        <w:t xml:space="preserve">. </w:t>
      </w:r>
    </w:p>
    <w:p w14:paraId="33340595" w14:textId="77777777" w:rsidR="00F7014E" w:rsidRDefault="004764F4" w:rsidP="00066718">
      <w:pPr>
        <w:pStyle w:val="SubHeader"/>
      </w:pPr>
      <w:r>
        <w:t>Extended Period</w:t>
      </w:r>
      <w:r w:rsidR="00EA5EB0">
        <w:t>s</w:t>
      </w:r>
    </w:p>
    <w:p w14:paraId="6DC70137" w14:textId="77777777" w:rsidR="008D772B" w:rsidRDefault="004764F4" w:rsidP="005F7B88">
      <w:pPr>
        <w:pStyle w:val="BodyText"/>
      </w:pPr>
      <w:r>
        <w:t>Because of the COVID-19 pandemic, employees may be more likely to have unused amounts in health or dependent care FSAs. For plan years ending in 2020 and 2021, t</w:t>
      </w:r>
      <w:r w:rsidR="00EA5EB0">
        <w:t xml:space="preserve">he </w:t>
      </w:r>
      <w:r w:rsidR="007A250C">
        <w:t>Act</w:t>
      </w:r>
      <w:r w:rsidR="00EA5EB0">
        <w:t xml:space="preserve"> </w:t>
      </w:r>
      <w:r w:rsidR="00882F65">
        <w:t>allow</w:t>
      </w:r>
      <w:r w:rsidR="00F17D2F">
        <w:t>s</w:t>
      </w:r>
      <w:r w:rsidR="00882F65">
        <w:t xml:space="preserve"> employers to</w:t>
      </w:r>
      <w:r>
        <w:t>:</w:t>
      </w:r>
      <w:r w:rsidR="00882F65">
        <w:t xml:space="preserve"> </w:t>
      </w:r>
    </w:p>
    <w:p w14:paraId="06867DE4" w14:textId="77777777" w:rsidR="008D772B" w:rsidRDefault="004764F4" w:rsidP="008D772B">
      <w:pPr>
        <w:pStyle w:val="Bullet"/>
      </w:pPr>
      <w:r>
        <w:t>P</w:t>
      </w:r>
      <w:r w:rsidR="00882F65" w:rsidRPr="00C00264">
        <w:t>ermit employees to</w:t>
      </w:r>
      <w:r w:rsidR="00882F65" w:rsidRPr="00C00264">
        <w:rPr>
          <w:b/>
        </w:rPr>
        <w:t xml:space="preserve"> </w:t>
      </w:r>
      <w:r w:rsidR="00EA5EB0" w:rsidRPr="00C00264">
        <w:rPr>
          <w:b/>
        </w:rPr>
        <w:t>carry over</w:t>
      </w:r>
      <w:r w:rsidR="00882F65" w:rsidRPr="00C00264">
        <w:rPr>
          <w:b/>
        </w:rPr>
        <w:t xml:space="preserve"> unused amounts </w:t>
      </w:r>
      <w:r w:rsidR="00882F65" w:rsidRPr="008D772B">
        <w:t xml:space="preserve">remaining in </w:t>
      </w:r>
      <w:r w:rsidR="007240F2" w:rsidRPr="008D772B">
        <w:t xml:space="preserve">these FSAs </w:t>
      </w:r>
      <w:r w:rsidR="00EA5EB0">
        <w:t xml:space="preserve">to </w:t>
      </w:r>
      <w:r w:rsidR="007A250C">
        <w:t>the next plan year</w:t>
      </w:r>
      <w:r w:rsidR="00EA5EB0">
        <w:t>.</w:t>
      </w:r>
    </w:p>
    <w:p w14:paraId="70983E4F" w14:textId="77777777" w:rsidR="007A250C" w:rsidRDefault="004764F4" w:rsidP="007A250C">
      <w:pPr>
        <w:pStyle w:val="Bullet"/>
        <w:spacing w:after="60"/>
      </w:pPr>
      <w:r w:rsidRPr="008D772B">
        <w:rPr>
          <w:b/>
        </w:rPr>
        <w:t>E</w:t>
      </w:r>
      <w:r w:rsidR="00EA5EB0" w:rsidRPr="008D772B">
        <w:rPr>
          <w:b/>
        </w:rPr>
        <w:t>xtend the grace period</w:t>
      </w:r>
      <w:r w:rsidR="00EA5EB0">
        <w:t xml:space="preserve"> to 12 months after the end of such plan year.</w:t>
      </w:r>
    </w:p>
    <w:p w14:paraId="1B9B5C88" w14:textId="77777777" w:rsidR="007A250C" w:rsidRDefault="004764F4" w:rsidP="005F7B88">
      <w:pPr>
        <w:pStyle w:val="Bullet"/>
        <w:spacing w:after="160"/>
        <w:ind w:left="547"/>
      </w:pPr>
      <w:r w:rsidRPr="007A250C">
        <w:t>Permit employees who</w:t>
      </w:r>
      <w:r>
        <w:rPr>
          <w:b/>
        </w:rPr>
        <w:t xml:space="preserve"> cease plan participation </w:t>
      </w:r>
      <w:r w:rsidR="007240F2">
        <w:t xml:space="preserve">during 2020 or 2021 </w:t>
      </w:r>
      <w:r w:rsidR="001251EE">
        <w:t xml:space="preserve">to </w:t>
      </w:r>
      <w:r>
        <w:t xml:space="preserve">continue to </w:t>
      </w:r>
      <w:r w:rsidR="007240F2">
        <w:t xml:space="preserve">receive reimbursements from unused amounts through the end of the plan year in which </w:t>
      </w:r>
      <w:r w:rsidR="00C00264">
        <w:t>their</w:t>
      </w:r>
      <w:r w:rsidR="007240F2">
        <w:t xml:space="preserve"> participation </w:t>
      </w:r>
      <w:r w:rsidR="001251EE">
        <w:t>ende</w:t>
      </w:r>
      <w:r w:rsidR="007240F2">
        <w:t>d.</w:t>
      </w:r>
    </w:p>
    <w:p w14:paraId="32397C63" w14:textId="77777777" w:rsidR="007A250C" w:rsidRDefault="004764F4" w:rsidP="005F7B88">
      <w:pPr>
        <w:pStyle w:val="Bullet"/>
        <w:numPr>
          <w:ilvl w:val="0"/>
          <w:numId w:val="0"/>
        </w:numPr>
        <w:spacing w:after="160"/>
      </w:pPr>
      <w:r w:rsidRPr="007A250C">
        <w:t xml:space="preserve">The </w:t>
      </w:r>
      <w:r>
        <w:t>Act</w:t>
      </w:r>
      <w:r w:rsidRPr="007A250C">
        <w:t xml:space="preserve"> also includes a special carry forward rule for dependent care FSAs</w:t>
      </w:r>
      <w:r w:rsidR="0068442E">
        <w:t xml:space="preserve"> </w:t>
      </w:r>
      <w:r w:rsidRPr="007A250C">
        <w:t>where the dependent aged out during the pandemic</w:t>
      </w:r>
      <w:r w:rsidR="005F7B88">
        <w:t xml:space="preserve">. </w:t>
      </w:r>
      <w:r w:rsidR="005F7B88" w:rsidRPr="005F7B88">
        <w:t xml:space="preserve">For purposes of determining dependent care assistance </w:t>
      </w:r>
      <w:r w:rsidR="005C5BC0">
        <w:t>that</w:t>
      </w:r>
      <w:r w:rsidR="005F7B88" w:rsidRPr="005F7B88">
        <w:t xml:space="preserve"> may be paid or reimbursed, the maximum age is increased from 13 to 14</w:t>
      </w:r>
      <w:r w:rsidR="00791885">
        <w:t xml:space="preserve"> years of age</w:t>
      </w:r>
      <w:r w:rsidR="005F7B88" w:rsidRPr="005F7B88">
        <w:t>.</w:t>
      </w:r>
    </w:p>
    <w:p w14:paraId="6265B788" w14:textId="77777777" w:rsidR="00A015F1" w:rsidRDefault="004764F4" w:rsidP="001251EE">
      <w:pPr>
        <w:pStyle w:val="SubHeader"/>
      </w:pPr>
      <w:r>
        <w:t xml:space="preserve">Change in </w:t>
      </w:r>
      <w:r w:rsidRPr="002303C7">
        <w:rPr>
          <w:color w:val="404040"/>
        </w:rPr>
        <w:t>Election Amounts</w:t>
      </w:r>
      <w:r>
        <w:t xml:space="preserve"> </w:t>
      </w:r>
    </w:p>
    <w:p w14:paraId="733EC6E0" w14:textId="77777777" w:rsidR="008A7E71" w:rsidRDefault="004764F4" w:rsidP="001251EE">
      <w:pPr>
        <w:pStyle w:val="BodyText"/>
        <w:spacing w:after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4C7A78" wp14:editId="7D03325E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99730" w14:textId="77777777" w:rsidR="00A47C53" w:rsidRPr="00A47C53" w:rsidRDefault="004764F4" w:rsidP="00CF5E21">
                              <w:pPr>
                                <w:pStyle w:val="CallOutBox"/>
                              </w:pPr>
                              <w:r>
                                <w:t xml:space="preserve">Employers with health </w:t>
                              </w:r>
                              <w:r w:rsidR="007346FA">
                                <w:t xml:space="preserve">and dependent care </w:t>
                              </w:r>
                              <w:r>
                                <w:t xml:space="preserve">FSAs </w:t>
                              </w:r>
                              <w:r w:rsidR="00F17D2F">
                                <w:t xml:space="preserve">can </w:t>
                              </w:r>
                              <w:r>
                                <w:t>provide employees with additional time to use</w:t>
                              </w:r>
                              <w:r w:rsidR="00791885">
                                <w:t xml:space="preserve"> </w:t>
                              </w:r>
                              <w:r>
                                <w:t xml:space="preserve">funds in these </w:t>
                              </w:r>
                              <w:r>
                                <w:t>accounts</w:t>
                              </w:r>
                              <w:r w:rsidRPr="00A47C5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2.1pt;margin-left:0;mso-position-horizontal-relative:page;mso-position-vertical-relative:page;position:absolute;z-index:-251654144" coordsize="77717,25232">
                <v:shape id="Picture 5" o:spid="_x0000_s1031" type="#_x0000_t75" style="width:77717;height:6299;mso-wrap-style:square;position:absolute;visibility:visible">
                  <v:imagedata r:id="rId12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 w14:paraId="57A5DAAA" w14:textId="39CB1593">
                        <w:pPr>
                          <w:pStyle w:val="CallOutBox"/>
                        </w:pPr>
                        <w:r>
                          <w:t xml:space="preserve">Employers with health </w:t>
                        </w:r>
                        <w:r w:rsidR="007346FA">
                          <w:t xml:space="preserve">and dependent care </w:t>
                        </w:r>
                        <w:r>
                          <w:t xml:space="preserve">FSAs </w:t>
                        </w:r>
                        <w:r w:rsidR="00F17D2F">
                          <w:t xml:space="preserve">can </w:t>
                        </w:r>
                        <w:r>
                          <w:t>provide employees with additional time to use</w:t>
                        </w:r>
                        <w:r w:rsidR="00791885">
                          <w:t xml:space="preserve"> </w:t>
                        </w:r>
                        <w:r>
                          <w:t>funds in these accounts</w:t>
                        </w:r>
                        <w:r w:rsidRPr="00A47C53"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04C1C" wp14:editId="4C64DA10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1D5E2" w14:textId="77777777" w:rsidR="008F7B15" w:rsidRPr="008864AB" w:rsidRDefault="004764F4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14942D57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51EE">
        <w:rPr>
          <w:noProof/>
        </w:rPr>
        <w:t>Employees</w:t>
      </w:r>
      <w:r w:rsidR="001251EE">
        <w:t xml:space="preserve"> </w:t>
      </w:r>
      <w:r w:rsidR="00F17D2F">
        <w:t>are also</w:t>
      </w:r>
      <w:r w:rsidR="00791885">
        <w:t xml:space="preserve"> able to</w:t>
      </w:r>
      <w:r w:rsidR="007A250C">
        <w:t xml:space="preserve"> </w:t>
      </w:r>
      <w:r w:rsidR="004D4B9A" w:rsidRPr="004D4B9A">
        <w:t>elect to</w:t>
      </w:r>
      <w:r w:rsidR="004D4B9A" w:rsidRPr="001251EE">
        <w:rPr>
          <w:b/>
        </w:rPr>
        <w:t xml:space="preserve"> prospectively</w:t>
      </w:r>
      <w:r w:rsidR="007A250C">
        <w:rPr>
          <w:b/>
        </w:rPr>
        <w:t xml:space="preserve"> modify</w:t>
      </w:r>
      <w:r w:rsidR="004D4B9A" w:rsidRPr="004D4B9A">
        <w:t xml:space="preserve"> the amount of </w:t>
      </w:r>
      <w:r w:rsidR="004D4B9A">
        <w:t>their FSA</w:t>
      </w:r>
      <w:r w:rsidR="004D4B9A" w:rsidRPr="004D4B9A">
        <w:t xml:space="preserve"> contribution</w:t>
      </w:r>
      <w:r w:rsidR="004D4B9A">
        <w:t>s</w:t>
      </w:r>
      <w:r w:rsidR="001251EE">
        <w:t xml:space="preserve"> for plan years ending in 2021</w:t>
      </w:r>
      <w:r w:rsidR="004D4B9A">
        <w:t xml:space="preserve">, </w:t>
      </w:r>
      <w:r w:rsidR="007A250C">
        <w:t xml:space="preserve">even if they have not experienced a change in status. However, </w:t>
      </w:r>
      <w:r w:rsidR="004D4B9A">
        <w:t xml:space="preserve">the </w:t>
      </w:r>
      <w:r w:rsidR="00990C4C">
        <w:t>applicable</w:t>
      </w:r>
      <w:r w:rsidR="004D4B9A">
        <w:t xml:space="preserve"> dollar limitation</w:t>
      </w:r>
      <w:r w:rsidR="007A250C">
        <w:t>s</w:t>
      </w:r>
      <w:r w:rsidR="004D4B9A">
        <w:t xml:space="preserve"> </w:t>
      </w:r>
      <w:r w:rsidR="007A250C">
        <w:t>will continue to apply.</w:t>
      </w:r>
      <w:r w:rsidR="004D4B9A">
        <w:t xml:space="preserve"> </w:t>
      </w:r>
    </w:p>
    <w:p w14:paraId="4A6083D9" w14:textId="77777777" w:rsidR="00990C4C" w:rsidRPr="004967FA" w:rsidRDefault="00990C4C" w:rsidP="00990C4C">
      <w:pPr>
        <w:pStyle w:val="BodyText"/>
        <w:spacing w:after="0"/>
      </w:pPr>
    </w:p>
    <w:sectPr w:rsidR="00990C4C" w:rsidRPr="004967FA" w:rsidSect="008A7E71">
      <w:headerReference w:type="default" r:id="rId13"/>
      <w:footerReference w:type="default" r:id="rId14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20A7" w14:textId="77777777" w:rsidR="00000000" w:rsidRDefault="004764F4">
      <w:pPr>
        <w:spacing w:after="0" w:line="240" w:lineRule="auto"/>
      </w:pPr>
      <w:r>
        <w:separator/>
      </w:r>
    </w:p>
  </w:endnote>
  <w:endnote w:type="continuationSeparator" w:id="0">
    <w:p w14:paraId="0286DB72" w14:textId="77777777" w:rsidR="00000000" w:rsidRDefault="004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CA03" w14:textId="77777777" w:rsidR="0098636D" w:rsidRDefault="004764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BB94E" wp14:editId="16C0A69A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48659F" w14:textId="77777777" w:rsidR="00796AD3" w:rsidRPr="00817EEE" w:rsidRDefault="004764F4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EA32E1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436F498C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1F654FF6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0CB94A84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 w14:paraId="7FBE0DE3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EA32E1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3927BB32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44453F36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2F96D07D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41D6F" wp14:editId="39AA3412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61329762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519C5D0C" wp14:editId="76AA6C46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58340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7672" w14:textId="77777777" w:rsidR="00000000" w:rsidRDefault="004764F4">
      <w:pPr>
        <w:spacing w:after="0" w:line="240" w:lineRule="auto"/>
      </w:pPr>
      <w:r>
        <w:separator/>
      </w:r>
    </w:p>
  </w:footnote>
  <w:footnote w:type="continuationSeparator" w:id="0">
    <w:p w14:paraId="1F478D00" w14:textId="77777777" w:rsidR="00000000" w:rsidRDefault="0047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9984" w14:textId="77777777" w:rsidR="0098636D" w:rsidRDefault="004764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E022D" wp14:editId="26F63B8F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F57B42A" wp14:editId="72A79994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DF525" w14:textId="77777777" w:rsidR="00D35AF9" w:rsidRPr="00D35AF9" w:rsidRDefault="004764F4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 w14:paraId="6827153C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0CE2A7C2"/>
    <w:lvl w:ilvl="0" w:tplc="1D84CF12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9B741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05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64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C4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AB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8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65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C9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23FE0972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A8160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6C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8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AB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5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9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A3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E7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41E"/>
    <w:multiLevelType w:val="hybridMultilevel"/>
    <w:tmpl w:val="A558C562"/>
    <w:lvl w:ilvl="0" w:tplc="1CFC533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B30C836C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C5CCF4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C58456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A5647B0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96D25A8E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B9CF9A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50B988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40B254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1A1"/>
    <w:multiLevelType w:val="hybridMultilevel"/>
    <w:tmpl w:val="43CE94D6"/>
    <w:lvl w:ilvl="0" w:tplc="16FC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6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86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E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A8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A1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41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E0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9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744"/>
    <w:multiLevelType w:val="hybridMultilevel"/>
    <w:tmpl w:val="D67CDEAC"/>
    <w:lvl w:ilvl="0" w:tplc="3802FF32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EE6A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24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3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0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E5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21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9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E9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D8C"/>
    <w:multiLevelType w:val="hybridMultilevel"/>
    <w:tmpl w:val="88EA08E2"/>
    <w:lvl w:ilvl="0" w:tplc="921CDD94">
      <w:start w:val="1"/>
      <w:numFmt w:val="bullet"/>
      <w:pStyle w:val="Bulle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F68E6496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6CA5AF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61D2451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6CCC600C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4CB0DE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F38495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E6C6F958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D429CE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4"/>
    <w:rsid w:val="00001C17"/>
    <w:rsid w:val="00066718"/>
    <w:rsid w:val="0009416E"/>
    <w:rsid w:val="000A29E4"/>
    <w:rsid w:val="000D0673"/>
    <w:rsid w:val="001050A8"/>
    <w:rsid w:val="0012162D"/>
    <w:rsid w:val="001251EE"/>
    <w:rsid w:val="00126849"/>
    <w:rsid w:val="00147F5C"/>
    <w:rsid w:val="001631A4"/>
    <w:rsid w:val="001725D9"/>
    <w:rsid w:val="001B1A7E"/>
    <w:rsid w:val="00205944"/>
    <w:rsid w:val="00216A25"/>
    <w:rsid w:val="0022430C"/>
    <w:rsid w:val="002303C7"/>
    <w:rsid w:val="0024208C"/>
    <w:rsid w:val="0026000D"/>
    <w:rsid w:val="00297DF3"/>
    <w:rsid w:val="002B61D1"/>
    <w:rsid w:val="002D05CA"/>
    <w:rsid w:val="002F786C"/>
    <w:rsid w:val="003267EB"/>
    <w:rsid w:val="00373444"/>
    <w:rsid w:val="003A6B72"/>
    <w:rsid w:val="00432EFE"/>
    <w:rsid w:val="00436333"/>
    <w:rsid w:val="00437B14"/>
    <w:rsid w:val="004764F4"/>
    <w:rsid w:val="0048508B"/>
    <w:rsid w:val="00485C3A"/>
    <w:rsid w:val="004967FA"/>
    <w:rsid w:val="004B125C"/>
    <w:rsid w:val="004D34B3"/>
    <w:rsid w:val="004D4B9A"/>
    <w:rsid w:val="004E5F46"/>
    <w:rsid w:val="00564C09"/>
    <w:rsid w:val="00584B55"/>
    <w:rsid w:val="00593294"/>
    <w:rsid w:val="005C5BC0"/>
    <w:rsid w:val="005D05D9"/>
    <w:rsid w:val="005F7B88"/>
    <w:rsid w:val="00642870"/>
    <w:rsid w:val="0067270F"/>
    <w:rsid w:val="0068442E"/>
    <w:rsid w:val="006A2A41"/>
    <w:rsid w:val="006E4087"/>
    <w:rsid w:val="00707343"/>
    <w:rsid w:val="007240F2"/>
    <w:rsid w:val="007346FA"/>
    <w:rsid w:val="00770406"/>
    <w:rsid w:val="00791885"/>
    <w:rsid w:val="00796AD3"/>
    <w:rsid w:val="007A250C"/>
    <w:rsid w:val="00802FF0"/>
    <w:rsid w:val="00817EEE"/>
    <w:rsid w:val="00855DD7"/>
    <w:rsid w:val="00856044"/>
    <w:rsid w:val="00871E9E"/>
    <w:rsid w:val="00882F65"/>
    <w:rsid w:val="008864AB"/>
    <w:rsid w:val="008A7E71"/>
    <w:rsid w:val="008D51BF"/>
    <w:rsid w:val="008D772B"/>
    <w:rsid w:val="008F7B15"/>
    <w:rsid w:val="00926535"/>
    <w:rsid w:val="009440BA"/>
    <w:rsid w:val="00947E11"/>
    <w:rsid w:val="0098636D"/>
    <w:rsid w:val="00990C4C"/>
    <w:rsid w:val="00993033"/>
    <w:rsid w:val="009C7D26"/>
    <w:rsid w:val="009D4BB6"/>
    <w:rsid w:val="009E2B6A"/>
    <w:rsid w:val="009E4DC9"/>
    <w:rsid w:val="009E70BF"/>
    <w:rsid w:val="009F3BC7"/>
    <w:rsid w:val="00A015F1"/>
    <w:rsid w:val="00A152C2"/>
    <w:rsid w:val="00A337BD"/>
    <w:rsid w:val="00A47C53"/>
    <w:rsid w:val="00A61FEF"/>
    <w:rsid w:val="00A65FD8"/>
    <w:rsid w:val="00A9282B"/>
    <w:rsid w:val="00AB3085"/>
    <w:rsid w:val="00AB3AEA"/>
    <w:rsid w:val="00AD0649"/>
    <w:rsid w:val="00B449B4"/>
    <w:rsid w:val="00BA7D47"/>
    <w:rsid w:val="00BE45C1"/>
    <w:rsid w:val="00C00264"/>
    <w:rsid w:val="00C11A08"/>
    <w:rsid w:val="00C741AE"/>
    <w:rsid w:val="00CA6AD1"/>
    <w:rsid w:val="00CF5E21"/>
    <w:rsid w:val="00D35AF9"/>
    <w:rsid w:val="00D379D5"/>
    <w:rsid w:val="00D60C11"/>
    <w:rsid w:val="00D76FCB"/>
    <w:rsid w:val="00DC3880"/>
    <w:rsid w:val="00DD1268"/>
    <w:rsid w:val="00DE1DCE"/>
    <w:rsid w:val="00E16E6C"/>
    <w:rsid w:val="00E26E72"/>
    <w:rsid w:val="00E378E3"/>
    <w:rsid w:val="00E64D05"/>
    <w:rsid w:val="00E73236"/>
    <w:rsid w:val="00EA32E1"/>
    <w:rsid w:val="00EA5EB0"/>
    <w:rsid w:val="00EC2053"/>
    <w:rsid w:val="00F17D2F"/>
    <w:rsid w:val="00F32D2D"/>
    <w:rsid w:val="00F32F5A"/>
    <w:rsid w:val="00F7014E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79E3"/>
  <w15:chartTrackingRefBased/>
  <w15:docId w15:val="{F5E65F62-3B53-443A-AAB8-7B26DBE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F701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B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les.house.gov/sites/democrats.rules.house.gov/files/BILLS-116HR133SA-RCP-116-6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EB_%20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Sarah Gillespie</cp:lastModifiedBy>
  <cp:revision>2</cp:revision>
  <dcterms:created xsi:type="dcterms:W3CDTF">2021-01-07T18:33:00Z</dcterms:created>
  <dcterms:modified xsi:type="dcterms:W3CDTF">2021-01-07T18:33:00Z</dcterms:modified>
</cp:coreProperties>
</file>