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BD9D" w14:textId="77777777" w:rsidR="0026000D" w:rsidRPr="009A362F" w:rsidRDefault="00D115AA" w:rsidP="008A7E71">
      <w:pPr>
        <w:pStyle w:val="MainTitle"/>
        <w:rPr>
          <w:sz w:val="46"/>
          <w:szCs w:val="46"/>
        </w:rPr>
      </w:pPr>
      <w:r w:rsidRPr="009A362F">
        <w:rPr>
          <w:noProof/>
          <w:sz w:val="46"/>
          <w:szCs w:val="46"/>
        </w:rPr>
        <w:drawing>
          <wp:anchor distT="0" distB="0" distL="114300" distR="114300" simplePos="0" relativeHeight="251658240" behindDoc="0" locked="1" layoutInCell="1" allowOverlap="1" wp14:anchorId="6FB518D4" wp14:editId="11866B2A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1" name="Picture 10003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21145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5CE" w:rsidRPr="009A362F">
        <w:rPr>
          <w:noProof/>
          <w:sz w:val="46"/>
          <w:szCs w:val="4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C9DE55" wp14:editId="176345F0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8" cy="3084195"/>
                          <a:chOff x="1" y="0"/>
                          <a:chExt cx="7772398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" y="0"/>
                            <a:ext cx="7772398" cy="637606"/>
                            <a:chOff x="1" y="0"/>
                            <a:chExt cx="7772398" cy="63760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2473"/>
                              <a:ext cx="7772398" cy="63513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16CE9D" w14:textId="77777777" w:rsidR="008864AB" w:rsidRPr="008864AB" w:rsidRDefault="004C55CE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Important Dates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0CF38" w14:textId="77777777" w:rsidR="0024208C" w:rsidRPr="0024208C" w:rsidRDefault="004C55CE" w:rsidP="0024208C">
                              <w:pPr>
                                <w:pStyle w:val="SubHeader"/>
                              </w:pPr>
                              <w:r>
                                <w:t>March</w:t>
                              </w:r>
                              <w:r w:rsidRPr="0024208C">
                                <w:t xml:space="preserve"> 1</w:t>
                              </w:r>
                              <w:r>
                                <w:t>8</w:t>
                              </w:r>
                              <w:r w:rsidRPr="0024208C">
                                <w:t>, 2</w:t>
                              </w:r>
                              <w:r>
                                <w:t>020</w:t>
                              </w:r>
                            </w:p>
                            <w:p w14:paraId="523A57C8" w14:textId="77777777" w:rsidR="0024208C" w:rsidRPr="00D2167C" w:rsidRDefault="004C55CE" w:rsidP="0024208C">
                              <w:pPr>
                                <w:pStyle w:val="BodyText"/>
                              </w:pPr>
                              <w:r>
                                <w:t xml:space="preserve">The FFCRA was </w:t>
                              </w:r>
                              <w:r w:rsidR="00962DA6">
                                <w:t xml:space="preserve">passed, containing </w:t>
                              </w:r>
                              <w:r>
                                <w:t xml:space="preserve">the </w:t>
                              </w:r>
                              <w:r w:rsidR="00962DA6">
                                <w:t xml:space="preserve">Emergency Paid Sick Leave Act and </w:t>
                              </w:r>
                              <w:r w:rsidR="004363EE">
                                <w:t xml:space="preserve">the </w:t>
                              </w:r>
                              <w:r w:rsidR="00962DA6">
                                <w:t>Emergency Family and Medical Leave Expansion Act.</w:t>
                              </w:r>
                            </w:p>
                            <w:p w14:paraId="23467597" w14:textId="77777777" w:rsidR="0024208C" w:rsidRDefault="004C55CE" w:rsidP="0024208C">
                              <w:pPr>
                                <w:pStyle w:val="SubHeader"/>
                              </w:pPr>
                              <w:r>
                                <w:t>Dec</w:t>
                              </w:r>
                              <w:r w:rsidRPr="00D2167C">
                                <w:t xml:space="preserve">. </w:t>
                              </w:r>
                              <w:r>
                                <w:t>31</w:t>
                              </w:r>
                              <w:r w:rsidRPr="00D2167C">
                                <w:t>, 20</w:t>
                              </w:r>
                              <w:r>
                                <w:t>20</w:t>
                              </w:r>
                            </w:p>
                            <w:p w14:paraId="6119E4D7" w14:textId="77777777" w:rsidR="0024208C" w:rsidRPr="00D2167C" w:rsidRDefault="004C55CE" w:rsidP="0024208C">
                              <w:pPr>
                                <w:pStyle w:val="BodyText"/>
                              </w:pPr>
                              <w:r>
                                <w:t xml:space="preserve">FFCRA’s requirements for employee paid sick leave and paid family and </w:t>
                              </w:r>
                              <w:r>
                                <w:t>medical leave expire.</w:t>
                              </w:r>
                            </w:p>
                            <w:p w14:paraId="396CF4C8" w14:textId="77777777" w:rsidR="0024208C" w:rsidRDefault="004C55CE" w:rsidP="0024208C">
                              <w:pPr>
                                <w:pStyle w:val="SubHeader"/>
                              </w:pPr>
                              <w:r>
                                <w:t>March</w:t>
                              </w:r>
                              <w:r w:rsidRPr="00D2167C">
                                <w:t xml:space="preserve"> </w:t>
                              </w:r>
                              <w:r>
                                <w:t>31</w:t>
                              </w:r>
                              <w:r w:rsidRPr="00D2167C">
                                <w:t>, 20</w:t>
                              </w:r>
                              <w:r>
                                <w:t>21</w:t>
                              </w:r>
                            </w:p>
                            <w:p w14:paraId="23F76CFB" w14:textId="77777777" w:rsidR="0024208C" w:rsidRDefault="004C55CE" w:rsidP="004D34B3">
                              <w:pPr>
                                <w:pStyle w:val="BodyText"/>
                              </w:pPr>
                              <w:r>
                                <w:t xml:space="preserve">Employer tax credits apply for FFCRA leave taken through this date.   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9DE55" id="Group 16" o:spid="_x0000_s1026" style="position:absolute;margin-left:-35.4pt;margin-top:196.8pt;width:612pt;height:242.85pt;z-index:-251657216;mso-position-vertical-relative:page;mso-height-relative:margin" coordorigin="" coordsize="77723,30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Cd+dAMAAD0KAAAOAAAAZHJzL2Uyb0RvYy54bWzEVttu3CAQfa/Uf0C8&#10;N75ldx0rTtXmpkq9RL18AIvxGsUGCmy86dd3ANu72aRKNw9tpHjBMMM5M2cGn77ddC26Y9pwKUqc&#10;HMUYMUFlxcWqxD++X73JMTKWiIq0UrAS3zOD3569fnXaq4KlspFtxTQCJ8IUvSpxY60qosjQhnXE&#10;HEnFBCzWUnfEwlSvokqTHrx3bZTG8Tzqpa6UlpQZA28vwiI+8/7rmlH7pa4Ns6gtMWCz/qn9c+me&#10;0dkpKVaaqIbTAQZ5AYqOcAGHTq4uiCVorfkjVx2nWhpZ2yMqu0jWNafMcwA2SbzH5lrLtfJcVkW/&#10;UlOYILR7cXqxW/r57kYjXkHu5hgJ0kGO/LEI5hCcXq0K2HOt1Td1o4cXqzBzfDe17twvMEEbH9b7&#10;KaxsYxGFl4vFIs1OQAgU1rI4P05OZiHwtIHsOLsEo60dbS6fsYzGgyOHb4IzTSbcI7fZHjd//oHc&#10;HmB8kts8W8xjHzZSHERta/gHZorTAv4HBcDokQKerxSwsmvN8OCk+ysfHdG3a/UGxKqI5Uvecnvv&#10;Cw9k6UCJuxtOb3SYbMWUjfGGVXcoylzCnYHbEyyIY/RR0luDhDxviFixd0ZBxTo5wO7o4XY/fXDc&#10;suXqiret058bD8Sguveq44nYhMq7kHTdMWFDK9GsBY5SmIYrg5EuWLdkUBn6Q+UBkcJYzSxt3IE1&#10;HPwVwDqgOwse5RaYo2CgcJ4olSCn9HjhQ0OKPyhqlmR+wyQMCJs29prJDrkBwAMUkA1SkLuPZsAz&#10;bhmiGCB4bIDIVQd0WzMGDGaPQnZQQ/nWEMUAgnO71UAyieC74/ZeblDq8jrscv0E2Q28dvl2+I3a&#10;U4PWsm8YqQBeUMSOafDjiKFl/0lW0LfI2krvaK8pzbIkh8LcbTFjsNP0JJunsORb03Gaz8NBY385&#10;MNikENIpEliSohWoL/HJLJ15UDsrHbdw6bW8K3Eeu7/QDR3VS1F5Y0t4G8aQ+FZAHh33kEc3spvl&#10;ZojlUlb3EAUtQQvABC5jGDRS/8Koh4utxObnmri6J4LC6xJTq8fJufV3IXjy/kETfjT01H8klDRZ&#10;jO3ifyslzfM0D0rJFlkGQ5+NSS5ZnKTHg1zSRRLnib9JXlqc/1Yv4ZofS/Bg2dhnRQPfKCCfBx9B&#10;u3Mvre1X39lvAAAA//8DAFBLAwQKAAAAAAAAACEAKIqRTWUFAABlBQAAFAAAAGRycy9tZWRpYS9p&#10;bWFnZTEucG5niVBORw0KGgoAAAANSUhEUgAABqUAAACLCAYAAADoOJPfAAAACXBIWXMAABYlAAAW&#10;JQFJUiTwAAAFF0lEQVR4nO3cUQ3CUBBFwS2pEKQRFNQBmpCAIxw8goiTNM2MhL2fJ9ltrTUAAAAA&#10;XMPxfN9n5mFOAOBsdosAAAAAXMo/Sr1MCgCczc0iAAAAAAAA1EQpAAAAAAAAcqIUAAAAAAAAOVEK&#10;AAAAAACAnCgFAAAAAABATpQCAAAAAAAgJ0oBAAAAAACQE6UAAAAAAADIiVIAAAAAAADkRCkAAAAA&#10;AAByohQAAAAAAAA5UQoAAAAAAICcKAUAAAAAAEBOlAIAAAAAACAnSgEAAAAAAJATpQAAAAAAAMiJ&#10;UgAAAAAAAOREKQAAAAAAAHKiFAAAAAAAADlRCgAAAAAAgJwoBQAAAAAAQE6UAgAAAAAAICdKAQAA&#10;AAAAkBOlAAAAAAAAyIlSAAAAAAAA5EQpAAAAAAAAcqIUAAAAAAAAOVEKAAAAAACAnCgFAAAAAABA&#10;TpQCAAAAAAAgJ0oBAAAAAACQE6UAAAAAAADIiVIAAAAAAADkRCkAAAAAAAByohQAAAAAAAA5UQoA&#10;AAAAAICcKAUAAAAAAEBOlAIAAAAAACAnSgEAAAAAAJATpQAAAAAAAMiJUgAAAAAAAOREKQAAAAAA&#10;AHKiFAAAAAAAADlRCgAAAAAAgJwoBQAAAAAAQE6UAgAAAAAAICdKAQAAAAAAkBOlAAAAAAAAyIlS&#10;AAAAAAAA5EQpAAAAAAAAcqIUAAAAAAAAOVEKAAAAAACAnCgFAAAAAABATpQCAAAAAAAgJ0oBAAAA&#10;AACQE6UAAAAAAADIiVIAAAAAAADkRCkAAAAAAAByohQAAAAAAAA5UQoAAAAAAICcKAUAAAAAAEBO&#10;lAIAAAAAACAnSgEAAAAAAJATpQAAAAAAAMiJUgAAAAAAAOREKQAAAAAAAHKiFAAAAAAAADlRCgAA&#10;AAAAgNzuxAAAAACX8p2Zj0kBgLPZ1lpGAQAAAAAAIOV9HwAAAAAAADlRCgAAAAAAgJwoBQAAAAAA&#10;QE6UAgAAAAAAICdKAQAAAAAAkBOlAAAAAAAAyIlSAAAAAAAA5EQpAAAAAAAAcqIUAAAAAAAAOVEK&#10;AAAAAACAnCgFAAAAAABATpQCAAAAAAAgJ0oBAAAAAACQE6UAAAAAAADIiVIAAAAAAADkRCkAAAAA&#10;AAByohQAAAAAAAA5UQoAAAAAAICcKAUAAAAAAEBOlAIAAAAAACAnSgEAAAAAAJATpQAAAAAAAMiJ&#10;UgAAAAAAAOREKQAAAAAAAHKiFAAAAAAAADlRCgAAAAAAgJwoBQAAAAAAQE6UAgAAAAAAICdKAQAA&#10;AAAAkBOlAAAAAAAAyIlSAAAAAAAA5EQpAAAAAAAAcqIUAAAAAAAAOVEKAAAAAACAnCgFAAAAAABA&#10;TpQCAAAAAAAgJ0oBAAAAAACQE6UAAAAAAADIiVIAAAAAAADkRCkAAAAAAAByohQAAAAAAAA5UQoA&#10;AAAAAICcKAUAAAAAAEBOlAIAAAAAACAnSgEAAAAAAJATpQAAAAAAAMiJUgAAAAAAAOREKQAAAAAA&#10;AHKiFAAAAAAAADlRCgAAAAAAgJwoBQAAAAAAQE6UAgAAAAAAICdKAQAAAAAAkBOlAAAAAAAAyIlS&#10;AAAAAAAA5EQpAAAAAAAAcqIUAAAAAAAAOVEKAAAAAACAnCgFAAAAAABATpQCAAAAAAAgJ0oBAAAA&#10;AACQE6UAAAAAAADIiVIAAAAAAADkRCkAAAAAAAByohQAAAAAAAA5UQoAAAAAAICcKAUAAAAAAEBr&#10;Zn7YWAtmTC3JawAAAABJRU5ErkJgglBLAwQUAAYACAAAACEAI4Bo2+IAAAAMAQAADwAAAGRycy9k&#10;b3ducmV2LnhtbEyPzWrDMBCE74W+g9hCb4nsmPy5lkMIbU+h0KRQettYG9vEWhlLsZ23r3Jqj8MM&#10;M99km9E0oqfO1ZYVxNMIBHFhdc2lgq/j22QFwnlkjY1lUnAjB5v88SHDVNuBP6k/+FKEEnYpKqi8&#10;b1MpXVGRQTe1LXHwzrYz6IPsSqk7HEK5aeQsihbSYM1hocKWdhUVl8PVKHgfcNgm8Wu/v5x3t5/j&#10;/ON7H5NSz0/j9gWEp9H/heGOH9AhD0wne2XtRKNgsowCuleQrJMFiHsiniczECcFq+U6AZln8v+J&#10;/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mCCd+dAMAAD0K&#10;AAAOAAAAAAAAAAAAAAAAADoCAABkcnMvZTJvRG9jLnhtbFBLAQItAAoAAAAAAAAAIQAoipFNZQUA&#10;AGUFAAAUAAAAAAAAAAAAAAAAANoFAABkcnMvbWVkaWEvaW1hZ2UxLnBuZ1BLAQItABQABgAIAAAA&#10;IQAjgGjb4gAAAAwBAAAPAAAAAAAAAAAAAAAAAHELAABkcnMvZG93bnJldi54bWxQSwECLQAUAAYA&#10;CAAAACEAqiYOvrwAAAAhAQAAGQAAAAAAAAAAAAAAAACADAAAZHJzL19yZWxzL2Uyb0RvYy54bWwu&#10;cmVsc1BLBQYAAAAABgAGAHwBAABzDQAAAAA=&#10;">
                <v:group id="Group 15" o:spid="_x0000_s1027" style="position:absolute;width:77723;height:6376" coordorigin="" coordsize="77723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top:24;width:77723;height:6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tSwgAAANoAAAAPAAAAZHJzL2Rvd25yZXYueG1sRI/RisIw&#10;FETfBf8hXGHfNO0q6lajuK6Cb0XXD7g017a0uSlN1nb/3giCj8PMnGHW297U4k6tKy0riCcRCOLM&#10;6pJzBdff43gJwnlkjbVlUvBPDrab4WCNibYdn+l+8bkIEHYJKii8bxIpXVaQQTexDXHwbrY16INs&#10;c6lb7ALc1PIziubSYMlhocCG9gVl1eXPKPi+pgv/Ff902a7az5ZxdaBpelDqY9TvViA89f4dfrVP&#10;WsEUnlfCDZCbBwAAAP//AwBQSwECLQAUAAYACAAAACEA2+H2y+4AAACFAQAAEwAAAAAAAAAAAAAA&#10;AAAAAAAAW0NvbnRlbnRfVHlwZXNdLnhtbFBLAQItABQABgAIAAAAIQBa9CxbvwAAABUBAAALAAAA&#10;AAAAAAAAAAAAAB8BAABfcmVscy8ucmVsc1BLAQItABQABgAIAAAAIQDyeUtSwgAAANo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3187;width:22936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<v:textbox>
                      <w:txbxContent>
                        <w:p w14:paraId="2B16CE9D" w14:textId="77777777" w:rsidR="008864AB" w:rsidRPr="008864AB" w:rsidRDefault="004C55CE" w:rsidP="008864AB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Important Dates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52882;top:3733;width:23013;height:27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6A0CF38" w14:textId="77777777" w:rsidR="0024208C" w:rsidRPr="0024208C" w:rsidRDefault="004C55CE" w:rsidP="0024208C">
                        <w:pPr>
                          <w:pStyle w:val="SubHeader"/>
                        </w:pPr>
                        <w:r>
                          <w:t>March</w:t>
                        </w:r>
                        <w:r w:rsidRPr="0024208C">
                          <w:t xml:space="preserve"> 1</w:t>
                        </w:r>
                        <w:r>
                          <w:t>8</w:t>
                        </w:r>
                        <w:r w:rsidRPr="0024208C">
                          <w:t>, 2</w:t>
                        </w:r>
                        <w:r>
                          <w:t>020</w:t>
                        </w:r>
                      </w:p>
                      <w:p w14:paraId="523A57C8" w14:textId="77777777" w:rsidR="0024208C" w:rsidRPr="00D2167C" w:rsidRDefault="004C55CE" w:rsidP="0024208C">
                        <w:pPr>
                          <w:pStyle w:val="BodyText"/>
                        </w:pPr>
                        <w:r>
                          <w:t xml:space="preserve">The FFCRA was </w:t>
                        </w:r>
                        <w:r w:rsidR="00962DA6">
                          <w:t xml:space="preserve">passed, containing </w:t>
                        </w:r>
                        <w:r>
                          <w:t xml:space="preserve">the </w:t>
                        </w:r>
                        <w:r w:rsidR="00962DA6">
                          <w:t xml:space="preserve">Emergency Paid Sick Leave Act and </w:t>
                        </w:r>
                        <w:r w:rsidR="004363EE">
                          <w:t xml:space="preserve">the </w:t>
                        </w:r>
                        <w:r w:rsidR="00962DA6">
                          <w:t>Emergency Family and Medical Leave Expansion Act.</w:t>
                        </w:r>
                      </w:p>
                      <w:p w14:paraId="23467597" w14:textId="77777777" w:rsidR="0024208C" w:rsidRDefault="004C55CE" w:rsidP="0024208C">
                        <w:pPr>
                          <w:pStyle w:val="SubHeader"/>
                        </w:pPr>
                        <w:r>
                          <w:t>Dec</w:t>
                        </w:r>
                        <w:r w:rsidRPr="00D2167C">
                          <w:t xml:space="preserve">. </w:t>
                        </w:r>
                        <w:r>
                          <w:t>31</w:t>
                        </w:r>
                        <w:r w:rsidRPr="00D2167C">
                          <w:t>, 20</w:t>
                        </w:r>
                        <w:r>
                          <w:t>20</w:t>
                        </w:r>
                      </w:p>
                      <w:p w14:paraId="6119E4D7" w14:textId="77777777" w:rsidR="0024208C" w:rsidRPr="00D2167C" w:rsidRDefault="004C55CE" w:rsidP="0024208C">
                        <w:pPr>
                          <w:pStyle w:val="BodyText"/>
                        </w:pPr>
                        <w:r>
                          <w:t xml:space="preserve">FFCRA’s requirements for employee paid sick leave and paid family and </w:t>
                        </w:r>
                        <w:r>
                          <w:t>medical leave expire.</w:t>
                        </w:r>
                      </w:p>
                      <w:p w14:paraId="396CF4C8" w14:textId="77777777" w:rsidR="0024208C" w:rsidRDefault="004C55CE" w:rsidP="0024208C">
                        <w:pPr>
                          <w:pStyle w:val="SubHeader"/>
                        </w:pPr>
                        <w:r>
                          <w:t>March</w:t>
                        </w:r>
                        <w:r w:rsidRPr="00D2167C">
                          <w:t xml:space="preserve"> </w:t>
                        </w:r>
                        <w:r>
                          <w:t>31</w:t>
                        </w:r>
                        <w:r w:rsidRPr="00D2167C">
                          <w:t>, 20</w:t>
                        </w:r>
                        <w:r>
                          <w:t>21</w:t>
                        </w:r>
                      </w:p>
                      <w:p w14:paraId="23F76CFB" w14:textId="77777777" w:rsidR="0024208C" w:rsidRDefault="004C55CE" w:rsidP="004D34B3">
                        <w:pPr>
                          <w:pStyle w:val="BodyText"/>
                        </w:pPr>
                        <w:r>
                          <w:t xml:space="preserve">Employer tax credits apply for FFCRA leave taken through this date.  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bookmarkStart w:id="0" w:name="_Hlk59487383"/>
      <w:r w:rsidRPr="009A362F">
        <w:rPr>
          <w:sz w:val="46"/>
          <w:szCs w:val="46"/>
        </w:rPr>
        <w:t xml:space="preserve">Stimulus Bill </w:t>
      </w:r>
      <w:r w:rsidR="00476875" w:rsidRPr="009A362F">
        <w:rPr>
          <w:sz w:val="46"/>
          <w:szCs w:val="46"/>
        </w:rPr>
        <w:t>Exten</w:t>
      </w:r>
      <w:r w:rsidRPr="009A362F">
        <w:rPr>
          <w:sz w:val="46"/>
          <w:szCs w:val="46"/>
        </w:rPr>
        <w:t>d</w:t>
      </w:r>
      <w:r w:rsidR="00636B41">
        <w:rPr>
          <w:sz w:val="46"/>
          <w:szCs w:val="46"/>
        </w:rPr>
        <w:t>s</w:t>
      </w:r>
      <w:r w:rsidR="00476875" w:rsidRPr="009A362F">
        <w:rPr>
          <w:sz w:val="46"/>
          <w:szCs w:val="46"/>
        </w:rPr>
        <w:t xml:space="preserve"> </w:t>
      </w:r>
      <w:r w:rsidR="00E77D2F" w:rsidRPr="009A362F">
        <w:rPr>
          <w:sz w:val="46"/>
          <w:szCs w:val="46"/>
        </w:rPr>
        <w:t xml:space="preserve">FFCRA </w:t>
      </w:r>
      <w:r w:rsidRPr="009A362F">
        <w:rPr>
          <w:sz w:val="46"/>
          <w:szCs w:val="46"/>
        </w:rPr>
        <w:t xml:space="preserve">Tax Credits but </w:t>
      </w:r>
      <w:r w:rsidR="00B53C83" w:rsidRPr="009A362F">
        <w:rPr>
          <w:sz w:val="46"/>
          <w:szCs w:val="46"/>
        </w:rPr>
        <w:t>N</w:t>
      </w:r>
      <w:r w:rsidRPr="009A362F">
        <w:rPr>
          <w:sz w:val="46"/>
          <w:szCs w:val="46"/>
        </w:rPr>
        <w:t>o</w:t>
      </w:r>
      <w:r w:rsidR="00365214" w:rsidRPr="009A362F">
        <w:rPr>
          <w:sz w:val="46"/>
          <w:szCs w:val="46"/>
        </w:rPr>
        <w:t>t</w:t>
      </w:r>
      <w:r w:rsidRPr="009A362F">
        <w:rPr>
          <w:sz w:val="46"/>
          <w:szCs w:val="46"/>
        </w:rPr>
        <w:t xml:space="preserve"> Leave Mandate </w:t>
      </w:r>
      <w:bookmarkEnd w:id="0"/>
    </w:p>
    <w:p w14:paraId="2E93F532" w14:textId="77777777" w:rsidR="00636B41" w:rsidRDefault="004C55CE" w:rsidP="008A7E71">
      <w:pPr>
        <w:pStyle w:val="BodyText"/>
      </w:pPr>
      <w:r>
        <w:t>A</w:t>
      </w:r>
      <w:r w:rsidR="00CA269A">
        <w:t xml:space="preserve">n </w:t>
      </w:r>
      <w:hyperlink r:id="rId10" w:history="1">
        <w:r w:rsidR="00CA269A" w:rsidRPr="00C0075F">
          <w:rPr>
            <w:rStyle w:val="Hyperlink"/>
          </w:rPr>
          <w:t>appropriations bill</w:t>
        </w:r>
      </w:hyperlink>
      <w:r>
        <w:t>, which was signed into law</w:t>
      </w:r>
      <w:r w:rsidR="007A5FA4">
        <w:t xml:space="preserve"> on Dec. 2</w:t>
      </w:r>
      <w:r>
        <w:t>7</w:t>
      </w:r>
      <w:r w:rsidR="007A5FA4">
        <w:t xml:space="preserve">, 2020, </w:t>
      </w:r>
      <w:r w:rsidR="009A362F">
        <w:rPr>
          <w:b/>
        </w:rPr>
        <w:t>does</w:t>
      </w:r>
      <w:r w:rsidR="009A362F" w:rsidRPr="009A362F">
        <w:rPr>
          <w:b/>
        </w:rPr>
        <w:t xml:space="preserve"> </w:t>
      </w:r>
      <w:r w:rsidR="008B03C4" w:rsidRPr="00AB45CE">
        <w:rPr>
          <w:b/>
        </w:rPr>
        <w:t xml:space="preserve">not </w:t>
      </w:r>
      <w:r w:rsidR="007C1A45" w:rsidRPr="00AB45CE">
        <w:rPr>
          <w:b/>
        </w:rPr>
        <w:t>extend</w:t>
      </w:r>
      <w:r w:rsidR="008B03C4" w:rsidRPr="00AB45CE">
        <w:rPr>
          <w:b/>
        </w:rPr>
        <w:t xml:space="preserve"> the leave mandate</w:t>
      </w:r>
      <w:r w:rsidR="00D115AA" w:rsidRPr="00AB45CE">
        <w:rPr>
          <w:b/>
        </w:rPr>
        <w:t>s</w:t>
      </w:r>
      <w:r w:rsidR="008B03C4">
        <w:t xml:space="preserve"> created by the Emergency Family and Medical Leave Expansion Act </w:t>
      </w:r>
      <w:r w:rsidR="00860365">
        <w:t xml:space="preserve">(EFMLA) </w:t>
      </w:r>
      <w:r w:rsidR="008B03C4">
        <w:t>and the Emergency Paid Sick Leave Act (EPSLA)</w:t>
      </w:r>
      <w:r w:rsidR="00962DA6">
        <w:t>, which expire on Dec. 31, 2020</w:t>
      </w:r>
      <w:r w:rsidR="008B03C4">
        <w:t>.</w:t>
      </w:r>
      <w:r w:rsidR="00AB45CE">
        <w:t xml:space="preserve"> </w:t>
      </w:r>
    </w:p>
    <w:p w14:paraId="7D324BBD" w14:textId="77777777" w:rsidR="009A362F" w:rsidRDefault="004C55CE" w:rsidP="008A7E71">
      <w:pPr>
        <w:pStyle w:val="BodyText"/>
      </w:pPr>
      <w:r>
        <w:t xml:space="preserve">As a result, the requirement for </w:t>
      </w:r>
      <w:r w:rsidR="00636B41">
        <w:t xml:space="preserve">employers to provide </w:t>
      </w:r>
      <w:r>
        <w:t xml:space="preserve">employee paid sick leave and expanded family and medical leave </w:t>
      </w:r>
      <w:r w:rsidR="00636B41">
        <w:t xml:space="preserve">under the Families First Coronavirus Response Act (FFCRA) </w:t>
      </w:r>
      <w:r>
        <w:t xml:space="preserve">will end on </w:t>
      </w:r>
      <w:r w:rsidR="00557324">
        <w:t xml:space="preserve">that date. </w:t>
      </w:r>
    </w:p>
    <w:p w14:paraId="0D9083EE" w14:textId="77777777" w:rsidR="009A362F" w:rsidRDefault="004C55CE" w:rsidP="009A362F">
      <w:pPr>
        <w:pStyle w:val="BodyText"/>
      </w:pPr>
      <w:r>
        <w:t xml:space="preserve">However, the bill </w:t>
      </w:r>
      <w:r w:rsidR="00636B41">
        <w:rPr>
          <w:b/>
        </w:rPr>
        <w:t xml:space="preserve">does </w:t>
      </w:r>
      <w:r w:rsidRPr="00AB45CE">
        <w:rPr>
          <w:b/>
        </w:rPr>
        <w:t xml:space="preserve">extend </w:t>
      </w:r>
      <w:r w:rsidR="003404A1" w:rsidRPr="00773534">
        <w:t>the time limit for</w:t>
      </w:r>
      <w:r w:rsidR="003404A1" w:rsidRPr="00AB45CE">
        <w:rPr>
          <w:b/>
        </w:rPr>
        <w:t xml:space="preserve"> </w:t>
      </w:r>
      <w:r w:rsidR="007C1A45" w:rsidRPr="00AB45CE">
        <w:rPr>
          <w:b/>
        </w:rPr>
        <w:t>employer tax credit</w:t>
      </w:r>
      <w:r w:rsidR="003404A1" w:rsidRPr="00AB45CE">
        <w:rPr>
          <w:b/>
        </w:rPr>
        <w:t>s</w:t>
      </w:r>
      <w:r w:rsidR="007C1A45">
        <w:t xml:space="preserve"> for employee leave </w:t>
      </w:r>
      <w:r w:rsidR="00A60303">
        <w:t>required by</w:t>
      </w:r>
      <w:r w:rsidR="00962DA6">
        <w:t xml:space="preserve"> those laws.</w:t>
      </w:r>
      <w:r>
        <w:t xml:space="preserve"> Specifically, the tax credits </w:t>
      </w:r>
      <w:r w:rsidR="00636B41">
        <w:t xml:space="preserve">will </w:t>
      </w:r>
      <w:r>
        <w:t xml:space="preserve">continue to be available for employers that offer EFMLA and EPSLA leave through March 31, 2021. </w:t>
      </w:r>
    </w:p>
    <w:p w14:paraId="7C21F515" w14:textId="77777777" w:rsidR="00A60303" w:rsidRPr="00A60303" w:rsidRDefault="004C55CE" w:rsidP="009A362F">
      <w:pPr>
        <w:pStyle w:val="SubHeader"/>
      </w:pPr>
      <w:r w:rsidRPr="00A60303">
        <w:t>Tax Credits</w:t>
      </w:r>
      <w:r w:rsidR="001F5D2F">
        <w:t xml:space="preserve"> for Paid Leave Under FFCRA</w:t>
      </w:r>
    </w:p>
    <w:p w14:paraId="3DC42C9A" w14:textId="77777777" w:rsidR="009A362F" w:rsidRDefault="004C55CE" w:rsidP="001F5D2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7EC0C2" wp14:editId="57B5B1A2">
                <wp:simplePos x="0" y="0"/>
                <wp:positionH relativeFrom="column">
                  <wp:posOffset>-451590</wp:posOffset>
                </wp:positionH>
                <wp:positionV relativeFrom="page">
                  <wp:posOffset>5655935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522855"/>
                          <a:chOff x="3658" y="0"/>
                          <a:chExt cx="7764448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8" y="0"/>
                            <a:ext cx="7764448" cy="629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ED179" w14:textId="77777777" w:rsidR="00A47C53" w:rsidRPr="00A47C53" w:rsidRDefault="004C55CE" w:rsidP="00CF5E21">
                              <w:pPr>
                                <w:pStyle w:val="CallOutBox"/>
                              </w:pPr>
                              <w:r>
                                <w:t xml:space="preserve">Employers </w:t>
                              </w:r>
                              <w:r w:rsidR="00B53C83">
                                <w:t xml:space="preserve">that </w:t>
                              </w:r>
                              <w:r>
                                <w:t>provide FFCRA paid employee leave through March 31, 2021,</w:t>
                              </w:r>
                              <w:r w:rsidR="009A362F">
                                <w:t xml:space="preserve"> </w:t>
                              </w:r>
                              <w:r w:rsidR="00636B41">
                                <w:t>are</w:t>
                              </w:r>
                              <w:r>
                                <w:t xml:space="preserve"> eligible for tax credits to cover leave </w:t>
                              </w:r>
                              <w:r>
                                <w:t xml:space="preserve">costs.  </w:t>
                              </w:r>
                              <w:r w:rsidR="008864AB">
                                <w:br/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EC0C2" id="Group 11" o:spid="_x0000_s1031" style="position:absolute;left:0;text-align:left;margin-left:-35.55pt;margin-top:445.35pt;width:611.95pt;height:198.65pt;z-index:-251655168;mso-position-vertical-relative:page" coordorigin="36" coordsize="77644,25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CuGKAMAAD0HAAAOAAAAZHJzL2Uyb0RvYy54bWycVe1u0zAU/Y/EO1j+&#10;z9JmTdpGyxAwmJD4mBg8gOs4jUViG9tdOp6eYydt1w4JtklLrz/uveeee2xfvN52LbkT1kmtSjo9&#10;m1AiFNeVVOuS/vj+4dWCEueZqlirlSjpvXD09eXLFxe9KUSqG91WwhIEUa7oTUkb702RJI43omPu&#10;TBuhsFhr2zGPoV0nlWU9ondtkk4medJrWxmruXAOs1fDIr2M8etacP+1rp3wpC0psPn4tfG7Ct/k&#10;8oIVa8tMI/kIgz0DRcekQtJ9qCvmGdlY+ShUJ7nVTtf+jOsu0XUtuYg1oJrp5KSaa6s3JtayLvq1&#10;2dMEak94enZY/uXuxhJZoXdTShTr0KOYlmAMcnqzLrDn2ppbc2PHifUwCvVua9uFX1RCtpHW+z2t&#10;YusJx+R8Pp/O84wSjrU0S9NFlg3E8wbdCX7neQahHFx5837vnM9mMyyOzudpmgfnZJc7CRD3iIzk&#10;Bf5HqmA9ourfkoKX31hBxyDdf8XomP25Ma/QVcO8XMlW+vuoUPQvgFJ3N5Lf2GFwYB2sDKRjNSQl&#10;kZngEPYMHixU9Enzn44o/a5hai3eOANpo2mRiuPtSRgepVu10nyQbRsaFeyxMByDExn9hZtBolea&#10;bzqh/HDmrGhRo1aukcZRYgvRrQQkZD9WERArnLfC8yYkrJH4G8AOPdsvRJQHYAGzg8L+oqlTbRxk&#10;9UAZebpcTpdHwgBt1vlroTsSDMADCnSDFezukxvx7LZAUAcI0cQwyB/XktsRhtEjyp508m4bZgQg&#10;hLAHDUxxMQ0i+B5qe6u3JA2VjLvCwSN+i+nQ74DfmRM1WKv7RrAK8AZFPHAd4gRuyar/rCsccLbx&#10;OgY6Ob3Z+XQxz4EGBzFfZIvxetwRnqbL8zzFcjyKs2yWz46P4hMZZ4XSQZYolRWtIn1Jl1maRWQP&#10;Vjrp8US0sivpYhL+AjesCPW+V1W0PZPtYONaaBWaGQgY9BQsv11t4yW353Wlq3swYjV0gYrwgsFo&#10;tP1NSY/XoKTu14aFO4ApjumScm93g3c+PiDIHNNAH9GKdzSso0fg4TjuOrx6l38AAAD//wMAUEsD&#10;BAoAAAAAAAAAIQDJpSa91AYAANQGAAAUAAAAZHJzL21lZGlhL2ltYWdlMS5wbmeJUE5HDQoaCgAA&#10;AA1JSERSAAAGpQAAAIoIBgAAACNkQHoAAAAJcEhZcwAAFiUAABYlAUlSJPAAAAaGSURBVHic7d0x&#10;apVRFIXRe0NaSy20sbQWwdKpBEfgkJyC0xIbRQVtnrwETBrP32TDOc+1itQ/eeXHPnefTqcFAAAA&#10;wOX48P7TzVrrxk8KAHRy7dcAAAAAuDgv11rv/KwAQCdXfg0AAAAAAADSRCkAAAAAAADiRCkAAAAA&#10;AADiRCkAAAAAAADiRCkAAAAAAADiRCkAAAAAAADiRCkAAAAAAADiRCkAAAAAAADiRCkAAAAAAADi&#10;RCkAAAAAAADiRCkAAAAAAADiRCkAAAAAAADiRCkAAAAAAADiRCkAAAAAAADiRCkAAAAAAADirv2L&#10;AQAAAEqv1lpPJv2LXr998fzL5x8NvgQA4N4+nU7+HQAAAAD/9nGt9WbS/+fb11/Pfn7//bTBpwAA&#10;/GUpBQAAAHBsT/of7T3tiwGA/4EoBQAAAFCbmHj2FqUAgGZEKQAAAIDauCi1H/wFAOjiyi8BAAAA&#10;AABAmqUUAAAAQM35PgCARyBKAQAAAByblXi2430AQD+iFAAAAEBt3ptS552UqRQA0IwoBQAAAFCb&#10;eL5PkwIA2rnykwAAAAAAAJBmKQUAAABQm7iUspMCANoRpQAAAACODXtTyvk+AKAfUQoAAACgNnMp&#10;pUoBAM14UwoAAAAAAIA4SykAAACA2sCl1PaoFADQjigFAAAAUBt6vq/BVwAAPCBKAQAAABwblXjO&#10;z0mpUgBAN96UAgAAAAAAIM5SCgAAAKA28nzfNpQCAJoRpQAAAABq46LUnpjRAICL53wfAAAAAAAA&#10;cZZSAAAAALWZ5/tMpQCAZkQpAAAAgGPDCs92vg8AaEeUAgAAAKjNXEqJUgBAM96UAgAAAAAAIM5S&#10;CgAAAKA2bil1t5IylQIAehGlAAAAAGrO9wEAPALn+wAAAAAAAIizlAIAAAA4Nux833a8DwBoR5QC&#10;AAAAqI0836dKAQDdON8HAAAAAABAnKUUAAAAQG3eUmrfnfADAOhElAIAAACozTzfBwDQjPN9AAAA&#10;AAAAxFlKAQAAABwbtTy6nXbZSgEAzYhSAAAAALWh5/tUKQCgF+f7AAAAAAAAiLOUAgAAAKjNW0rt&#10;7XwfANCOpRQAAAAAAABxllIAAAAAtZFvSllKAQDdiFIAAAAAx0YlnrsgpUoBAL043wcAAAAAAECc&#10;pRQAAABAzfk+AIBHYCkFAAAAAABAnKUUAAAAQG3cUsqTUgBAR6IUAAAAQG3m+T5VCgBoxvk+AAAA&#10;AAAA4iylAAAAAI7Nmh1N3HYBABfPUgoAAAAAAIA4SykAAACA2tA3pQAAerGUAgAAAAAAIM5SCgAA&#10;AKA2bim1zzspUykAoBlLKQAAAAAAAOIspQAAAABqM9+UspQCAJqxlAIAAAAAACDOUgoAAADg2Ljd&#10;kaEUANCNpRQAAAAAAABxllIAAAAAtZFvSplKAQDdWEoBAAAAAAAQZykFAAAAUBu3lNq3X2sqBQD0&#10;YikFAAAAAABAnKUUAAAAQG3mm1IAAM1YSgEAAAAAABAnSgEAAAAAABDnfB8AAADAsWHn8Pba+9Tg&#10;OwAA7llKAQAAAAAAECdKAQAAAAAAEOd8HwAAAEBtzzvfd/7eaZ8MAFw6SykAAAAAAADiRCkAAAAA&#10;AADinO8DAAAAqI0737dd7gMAGrKUAgAAAAAAIE6UAgAAAAAAIE6UAgAAAAAAIE6UAgAAAAAAIE6U&#10;AgAAAAAAIE6UAgAAAAAAIE6UAgAAAAAAIE6UAgAAAAAAIE6UAgAAAAAAIE6UAgAAAAAAIE6UAgAA&#10;AAAAIE6UAgAAAAAAIE6UAgAAAAAAIE6UAgAAAAAAIE6UAgAAAAAAIE6UAgAAAAAAIE6UAgAAAAAA&#10;IE6UAgAAAAAAIE6UAgAAAAAAIE6UAgAAAAAAIE6UAgAAAAAAIE6UAgAAAAAAIE6UAgAAAAAAIE6U&#10;AgAAAAAAIE6UAgAAAAAAIE6UAgAAAAAAIE6UAgAAAAAAIE6UAgAAAAAAIE6UAgAAAAAAIE6UAgAA&#10;AAAAIE6UAgAAAAAAIE6UAgAAAAAAIE6UAgAAAAAAIE6UAgAAAAAAIE6UAgAAAAAAIE6UAgAAAAAA&#10;IE6UAgAAAAAAIE6UAgAAAAAAIE6UAgAAAAAAIE6UAgAAAAAAIE6UAgAAAAAAIE6UAgAAAAAAIE6U&#10;AgAAAAAAIE6UAgAAAAAAIE6UAgAAAAAAIE6UAgAAAAAAIE6UAgAAAAAAIE6UAgAAAAAAIE6UAgAA&#10;AAAAIGut9QegqxYkbQKYawAAAABJRU5ErkJgglBLAwQUAAYACAAAACEAzZ45QuMAAAANAQAADwAA&#10;AGRycy9kb3ducmV2LnhtbEyPwWrDMAyG74O9g9Fgt9Z2Rtcsi1NK2XYqg7WDsZsbq0lobIfYTdK3&#10;n3pabxL6+PX9+WqyLRuwD413CuRcAENXetO4SsH3/n2WAgtRO6Nb71DBBQOsivu7XGfGj+4Lh12s&#10;GIW4kGkFdYxdxnkoa7Q6zH2Hjm5H31sdae0rbno9UrhteSLEM7e6cfSh1h1uaixPu7NV8DHqcf0k&#10;34bt6bi5/O4Xnz9biUo9PkzrV2ARp/gPw1Wf1KEgp4M/OxNYq2C2lJJQBemLWAK7EnKRUJsDTUma&#10;CuBFzm9bF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xQr&#10;higDAAA9BwAADgAAAAAAAAAAAAAAAAA6AgAAZHJzL2Uyb0RvYy54bWxQSwECLQAKAAAAAAAAACEA&#10;yaUmvdQGAADUBgAAFAAAAAAAAAAAAAAAAACOBQAAZHJzL21lZGlhL2ltYWdlMS5wbmdQSwECLQAU&#10;AAYACAAAACEAzZ45QuMAAAANAQAADwAAAAAAAAAAAAAAAACUDAAAZHJzL2Rvd25yZXYueG1sUEsB&#10;Ai0AFAAGAAgAAAAhAKomDr68AAAAIQEAABkAAAAAAAAAAAAAAAAApA0AAGRycy9fcmVscy9lMm9E&#10;b2MueG1sLnJlbHNQSwUGAAAAAAYABgB8AQAAlw4AAAAA&#10;">
                <v:shape id="Picture 5" o:spid="_x0000_s1032" type="#_x0000_t75" style="position:absolute;left:36;width:77645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3awwAAANoAAAAPAAAAZHJzL2Rvd25yZXYueG1sRI9PawIx&#10;FMTvQr9DeAVvmq3aolujqCB4s/5DvD03r5u1m5dlE3X99o1Q6HGYmd8w42ljS3Gj2heOFbx1ExDE&#10;mdMF5wr2u2VnCMIHZI2lY1LwIA/TyUtrjKl2d97QbRtyESHsU1RgQqhSKX1myKLvuoo4et+uthii&#10;rHOpa7xHuC1lL0k+pMWC44LBihaGsp/t1Srw/VMyWx7s12AzGvnT/Hw5mvVFqfZrM/sEEagJ/+G/&#10;9koreIfnlXgD5OQXAAD//wMAUEsBAi0AFAAGAAgAAAAhANvh9svuAAAAhQEAABMAAAAAAAAAAAAA&#10;AAAAAAAAAFtDb250ZW50X1R5cGVzXS54bWxQSwECLQAUAAYACAAAACEAWvQsW78AAAAVAQAACwAA&#10;AAAAAAAAAAAAAAAfAQAAX3JlbHMvLnJlbHNQSwECLQAUAAYACAAAACEAjYEt2sMAAADaAAAADwAA&#10;AAAAAAAAAAAAAAAHAgAAZHJzL2Rvd25yZXYueG1sUEsFBgAAAAADAAMAtwAAAPcCAAAAAA==&#10;">
                  <v:imagedata r:id="rId12" o:title=""/>
                </v:shape>
                <v:shape id="_x0000_s1033" type="#_x0000_t202" style="position:absolute;left:53187;top:685;width:22936;height:2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<v:textbox>
                    <w:txbxContent>
                      <w:p w14:paraId="746ED179" w14:textId="77777777" w:rsidR="00A47C53" w:rsidRPr="00A47C53" w:rsidRDefault="004C55CE" w:rsidP="00CF5E21">
                        <w:pPr>
                          <w:pStyle w:val="CallOutBox"/>
                        </w:pPr>
                        <w:r>
                          <w:t xml:space="preserve">Employers </w:t>
                        </w:r>
                        <w:r w:rsidR="00B53C83">
                          <w:t xml:space="preserve">that </w:t>
                        </w:r>
                        <w:r>
                          <w:t>provide FFCRA paid employee leave through March 31, 2021,</w:t>
                        </w:r>
                        <w:r w:rsidR="009A362F">
                          <w:t xml:space="preserve"> </w:t>
                        </w:r>
                        <w:r w:rsidR="00636B41">
                          <w:t>are</w:t>
                        </w:r>
                        <w:r>
                          <w:t xml:space="preserve"> eligible for tax credits to cover leave </w:t>
                        </w:r>
                        <w:r>
                          <w:t xml:space="preserve">costs.  </w:t>
                        </w:r>
                        <w:r w:rsidR="008864AB">
                          <w:br/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174675">
        <w:t xml:space="preserve">The EFMLA and the </w:t>
      </w:r>
      <w:r w:rsidR="001F5D2F">
        <w:t>EPSLA</w:t>
      </w:r>
      <w:r w:rsidR="00174675">
        <w:t xml:space="preserve"> were passed as part of </w:t>
      </w:r>
      <w:r w:rsidR="00636B41">
        <w:t xml:space="preserve">the </w:t>
      </w:r>
      <w:r w:rsidR="00174675">
        <w:t>FFCRA</w:t>
      </w:r>
      <w:r>
        <w:t xml:space="preserve">. The FFCRA </w:t>
      </w:r>
      <w:r w:rsidR="00174675">
        <w:t>also created tax credits for employers to</w:t>
      </w:r>
      <w:r w:rsidR="001F5D2F">
        <w:t xml:space="preserve"> cover</w:t>
      </w:r>
      <w:r w:rsidR="00174675">
        <w:t xml:space="preserve"> </w:t>
      </w:r>
      <w:r w:rsidR="001F5D2F">
        <w:t xml:space="preserve">certain </w:t>
      </w:r>
      <w:r w:rsidR="00174675">
        <w:t>cost</w:t>
      </w:r>
      <w:r w:rsidR="001F5D2F">
        <w:t>s</w:t>
      </w:r>
      <w:r w:rsidR="00174675">
        <w:t xml:space="preserve"> of </w:t>
      </w:r>
      <w:r w:rsidR="001F5D2F">
        <w:t>the employee leave required by the law</w:t>
      </w:r>
      <w:r w:rsidR="00636B41">
        <w:t>:</w:t>
      </w:r>
      <w:r w:rsidR="001F5D2F">
        <w:t xml:space="preserve"> employee wages, health plan expenses allocable to those wages, and the employer’s portion of the Medicare tax related to the wages. </w:t>
      </w:r>
    </w:p>
    <w:p w14:paraId="29EFE118" w14:textId="77777777" w:rsidR="001F5D2F" w:rsidRDefault="004C55CE" w:rsidP="001F5D2F">
      <w:pPr>
        <w:pStyle w:val="BodyText"/>
      </w:pPr>
      <w:r>
        <w:t>The new bill d</w:t>
      </w:r>
      <w:r w:rsidR="00773534">
        <w:t>oes</w:t>
      </w:r>
      <w:r>
        <w:t xml:space="preserve"> not change the FFCRA’s original limits on the number of leave days and amount of wages eligible for tax credits.</w:t>
      </w:r>
    </w:p>
    <w:p w14:paraId="729B24B1" w14:textId="77777777" w:rsidR="00B3316C" w:rsidRDefault="004C55CE" w:rsidP="00B3316C">
      <w:pPr>
        <w:pStyle w:val="SubHeader"/>
      </w:pPr>
      <w:r>
        <w:t>FFCRA Paid Leave</w:t>
      </w:r>
    </w:p>
    <w:p w14:paraId="44DB8560" w14:textId="77777777" w:rsidR="001F5D2F" w:rsidRDefault="004C55CE" w:rsidP="00636B41">
      <w:pPr>
        <w:pStyle w:val="BodyText"/>
        <w:rPr>
          <w:rFonts w:ascii="Times New Roman" w:hAnsi="Times New Roman" w:cs="Times New Roman"/>
          <w:sz w:val="15"/>
          <w:szCs w:val="15"/>
        </w:rPr>
      </w:pPr>
      <w:r>
        <w:t>The FFCRA require</w:t>
      </w:r>
      <w:r w:rsidR="00962DA6">
        <w:t>s</w:t>
      </w:r>
      <w:r>
        <w:t xml:space="preserve"> businesses with fewer than 500 employees to provide employees up to 80 hours of paid sick leave for their own </w:t>
      </w:r>
      <w:r w:rsidR="00773534">
        <w:t xml:space="preserve">COVID-19-related </w:t>
      </w:r>
      <w:r>
        <w:t xml:space="preserve">health needs or to care for others. </w:t>
      </w:r>
      <w:r w:rsidR="00AB45CE">
        <w:t xml:space="preserve">The </w:t>
      </w:r>
      <w:r w:rsidR="009A362F">
        <w:t>A</w:t>
      </w:r>
      <w:r w:rsidR="00AB45CE">
        <w:t xml:space="preserve">ct also requires an additional 10 weeks of paid family leave to care for a child whose school or place of care was closed, or </w:t>
      </w:r>
      <w:proofErr w:type="gramStart"/>
      <w:r w:rsidR="00AB45CE">
        <w:t>child care</w:t>
      </w:r>
      <w:proofErr w:type="gramEnd"/>
      <w:r w:rsidR="00AB45CE">
        <w:t xml:space="preserve"> provider was closed or unavailable</w:t>
      </w:r>
      <w:r w:rsidR="00773534">
        <w:t>,</w:t>
      </w:r>
      <w:r w:rsidR="00AB45CE">
        <w:t xml:space="preserve"> due to COVID-19. The law’s paid leave requirements sunset on Dec</w:t>
      </w:r>
      <w:r w:rsidR="00B53C83">
        <w:t>.</w:t>
      </w:r>
      <w:r w:rsidR="00AB45CE">
        <w:t xml:space="preserve"> 31, 2020.</w:t>
      </w:r>
      <w:r>
        <w:rPr>
          <w:sz w:val="15"/>
          <w:szCs w:val="15"/>
        </w:rPr>
        <w:t> </w:t>
      </w:r>
    </w:p>
    <w:p w14:paraId="34987D15" w14:textId="77777777" w:rsidR="001F5D2F" w:rsidRDefault="004C55CE" w:rsidP="001F5D2F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 </w:t>
      </w:r>
    </w:p>
    <w:p w14:paraId="590353DD" w14:textId="77777777" w:rsidR="008A7E71" w:rsidRPr="004967FA" w:rsidRDefault="004C55CE" w:rsidP="001F5D2F">
      <w:pPr>
        <w:pStyle w:val="BodyText"/>
      </w:pPr>
      <w:r>
        <w:t xml:space="preserve"> </w: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C87EA" wp14:editId="0EA703B6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9E4D98" w14:textId="77777777" w:rsidR="008F7B15" w:rsidRPr="008864AB" w:rsidRDefault="004C55CE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CB623A">
                              <w:rPr>
                                <w:b/>
                                <w:color w:val="6F61B0"/>
                                <w:sz w:val="20"/>
                                <w:szCs w:val="20"/>
                              </w:rPr>
                              <w:t>Lipscomb &amp; Pitts Insurance,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87EA" id="Text Box 12" o:spid="_x0000_s1034" type="#_x0000_t202" style="position:absolute;left:0;text-align:left;margin-left:296pt;margin-top:478.3pt;width:347.2pt;height:42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QxFwIAACYEAAAOAAAAZHJzL2Uyb0RvYy54bWysU8tu2zAQvBfoPxC815IfCRzBcuAmcC9G&#10;EsAucmYoyhIgPkrSltyv75CSnCLtqehB1HJ3OdydHa7uO9mQs7Cu1iqn00lKiVBcF7U65vT7Yftl&#10;SYnzTBWs0Urk9CIcvV9//rRqTSZmutJNISwBiHJZa3JaeW+yJHG8EpK5iTZCIVhqK5nH1h6TwrIW&#10;6LJJZml6m7TaFsZqLpyD97EP0nXEL0vB/XNZOuFJk1PU5uNq4/oW1mS9YtnRMlPVfCiD/UMVktUK&#10;l16hHpln5GTrP6Bkza12uvQTrmWiy7LmIvaAbqbph272FTMi9gJynLnS5P4fLH86v1hSF5jdjBLF&#10;JGZ0EJ0nX3VH4AI/rXEZ0vYGib6DH7mj38EZ2u5KK8MfDRHEwfTlym5A43AuFukdPko4Yjfz5WIZ&#10;6U/eTxvr/DehJQlGTi2mF0ll553zqASpY0q4TOlt3TRxgo0ibU5v5zdpPHCN4ESjQq6IWhhgQkd9&#10;5cHy3VsXGZiPXb3p4oJmre7l4gzf1qhox5x/YRb6QBPQvH/GUjYaN+vBoqTS9uff/CEfY0OUkhZ6&#10;y6n7cWJWgPSTfNCQ5xQvxfBoAt/6ZjRLq+UrZL4JCAgxxYGTUz+aD75XNJ4JF5tNTIK8DPM7tTc8&#10;QAcOAneH7pVZMxDsMZonPaqMZR947nNBe2Cp52TYQIxxGsPDCWr/fR+z3p/3+hcAAAD//wMAUEsD&#10;BBQABgAIAAAAIQDqbHva4QAAAAkBAAAPAAAAZHJzL2Rvd25yZXYueG1sTI9BS8NAFITvgv9heYI3&#10;u2lJQxuzKSVQBNFDay/eXrLbJLj7Nma3bfTX+zzpcZhh5ptiMzkrLmYMvScF81kCwlDjdU+tguPb&#10;7mEFIkQkjdaTUfBlAmzK25sCc+2vtDeXQ2wFl1DIUUEX45BLGZrOOAwzPxhi7+RHh5Hl2Eo94pXL&#10;nZWLJMmkw554ocPBVJ1pPg5np+C52r3ivl641betnl5O2+Hz+L5U6v5u2j6CiGaKf2H4xWd0KJmp&#10;9mfSQVgFfCQqWC+zDATb2TpNQdScS9J5CrIs5P8H5Q8AAAD//wMAUEsBAi0AFAAGAAgAAAAhALaD&#10;OJL+AAAA4QEAABMAAAAAAAAAAAAAAAAAAAAAAFtDb250ZW50X1R5cGVzXS54bWxQSwECLQAUAAYA&#10;CAAAACEAOP0h/9YAAACUAQAACwAAAAAAAAAAAAAAAAAvAQAAX3JlbHMvLnJlbHNQSwECLQAUAAYA&#10;CAAAACEAAicUMRcCAAAmBAAADgAAAAAAAAAAAAAAAAAuAgAAZHJzL2Uyb0RvYy54bWxQSwECLQAU&#10;AAYACAAAACEA6mx72uEAAAAJAQAADwAAAAAAAAAAAAAAAABxBAAAZHJzL2Rvd25yZXYueG1sUEsF&#10;BgAAAAAEAAQA8wAAAH8FAAAAAA==&#10;" filled="f" stroked="f" strokeweight=".5pt">
                <v:textbox>
                  <w:txbxContent>
                    <w:p w14:paraId="3B9E4D98" w14:textId="77777777" w:rsidR="008F7B15" w:rsidRPr="008864AB" w:rsidRDefault="004C55CE" w:rsidP="008F7B15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CB623A">
                        <w:rPr>
                          <w:b/>
                          <w:color w:val="6F61B0"/>
                          <w:sz w:val="20"/>
                          <w:szCs w:val="20"/>
                        </w:rPr>
                        <w:t>Lipscomb &amp; Pitts Insurance, LLC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A7E71" w:rsidRPr="004967FA" w:rsidSect="008A7E71">
      <w:headerReference w:type="default" r:id="rId13"/>
      <w:footerReference w:type="default" r:id="rId14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02477" w14:textId="77777777" w:rsidR="00000000" w:rsidRDefault="004C55CE">
      <w:pPr>
        <w:spacing w:after="0" w:line="240" w:lineRule="auto"/>
      </w:pPr>
      <w:r>
        <w:separator/>
      </w:r>
    </w:p>
  </w:endnote>
  <w:endnote w:type="continuationSeparator" w:id="0">
    <w:p w14:paraId="02A09630" w14:textId="77777777" w:rsidR="00000000" w:rsidRDefault="004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0FC7" w14:textId="77777777" w:rsidR="0098636D" w:rsidRDefault="004C55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56E1E0" wp14:editId="25243ACC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5F6B37" w14:textId="77777777" w:rsidR="00796AD3" w:rsidRPr="00817EEE" w:rsidRDefault="004C55CE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2B1592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2FA10A4D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50150656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51A0ED54" w14:textId="77777777"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6E1E0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6" type="#_x0000_t202" style="position:absolute;margin-left:-4.2pt;margin-top:-23.15pt;width:372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iQFgIAACYEAAAOAAAAZHJzL2Uyb0RvYy54bWysU8Fu2zAMvQ/YPwi6L3bSJSuMOEXWIrsE&#10;bYFk6FmV5diALWqSEjv7+j3JTjp0Ow27SBRJPZGPT8u7vm3YSVlXk875dJJyprSkotaHnH/fbz7d&#10;cua80IVoSKucn5Xjd6uPH5adydSMKmoKZRlAtMs6k/PKe5MliZOVaoWbkFEawZJsKzyO9pAUVnRA&#10;b5tklqaLpCNbGEtSOQfvwxDkq4hflkr6p7J0yrMm56jNx9XG9TWsyWopsoMVpqrlWIb4hypaUWs8&#10;eoV6EF6wo63/gGpraclR6SeS2oTKspYq9oBupum7bnaVMCr2AnKcudLk/h+sfDw9W1YXOb+dcqZF&#10;ixntVe/ZV+oZXOCnMy5D2s4g0ffwY84Xv4MztN2Xtg07GmKIg+nzld2AJuH8/OVmls4QkojN54vZ&#10;ItKfvN021vlviloWjJxbTC+SKk5b51EJUi8p4TFNm7pp4gQbzbqcL27mabxwjeBGo0OuiloYYUJH&#10;Q+XB8v1rHxm4dvVKxRnNWhrk4ozc1KhoK5x/Fhb6QBPQvH/CUjaEl2m0OKvI/vybP+RjbIhy1kFv&#10;OXc/jsIqkH5s7wnyBP94KZrAt765mKWl9gUyXwcEhISWwMm5v5j3flA0volU63VMgryM8Fu9MzJA&#10;Bw4Cd/v+RVgzEuwxmke6qExk73geckF7YGngZDxAjHEa48cJav/9HLPevvfqFwAAAP//AwBQSwME&#10;FAAGAAgAAAAhAG8vk/HiAAAACQEAAA8AAABkcnMvZG93bnJldi54bWxMj8FOwzAMhu9IvENkJG5b&#10;urWUqms6TZUmJASHjV24pU3WVkuc0mRb4ekxp3GyLH/6/f3FerKGXfToe4cCFvMImMbGqR5bAYeP&#10;7SwD5oNEJY1DLeBbe1iX93eFzJW74k5f9qFlFII+lwK6EIacc9902ko/d4NGuh3daGWgdWy5GuWV&#10;wq3hyyhKuZU90odODrrqdHPan62A12r7Lnf10mY/pnp5O26Gr8PnkxCPD9NmBSzoKdxg+NMndSjJ&#10;qXZnVJ4ZAbMsIZJmksbACHiOU+pSC0gWMfCy4P8blL8AAAD//wMAUEsBAi0AFAAGAAgAAAAhALaD&#10;OJL+AAAA4QEAABMAAAAAAAAAAAAAAAAAAAAAAFtDb250ZW50X1R5cGVzXS54bWxQSwECLQAUAAYA&#10;CAAAACEAOP0h/9YAAACUAQAACwAAAAAAAAAAAAAAAAAvAQAAX3JlbHMvLnJlbHNQSwECLQAUAAYA&#10;CAAAACEAwr0okBYCAAAmBAAADgAAAAAAAAAAAAAAAAAuAgAAZHJzL2Uyb0RvYy54bWxQSwECLQAU&#10;AAYACAAAACEAby+T8eIAAAAJAQAADwAAAAAAAAAAAAAAAABwBAAAZHJzL2Rvd25yZXYueG1sUEsF&#10;BgAAAAAEAAQA8wAAAH8FAAAAAA==&#10;" filled="f" stroked="f" strokeweight=".5pt">
              <v:textbox>
                <w:txbxContent>
                  <w:p w14:paraId="685F6B37" w14:textId="77777777" w:rsidR="00796AD3" w:rsidRPr="00817EEE" w:rsidRDefault="004C55CE" w:rsidP="00796AD3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2B1592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14:paraId="2FA10A4D" w14:textId="77777777" w:rsidR="00796AD3" w:rsidRPr="00947E11" w:rsidRDefault="00796AD3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14:paraId="50150656" w14:textId="77777777" w:rsidR="00796AD3" w:rsidRPr="00947E11" w:rsidRDefault="00796AD3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14:paraId="51A0ED54" w14:textId="77777777" w:rsidR="008F7B15" w:rsidRPr="00947E11" w:rsidRDefault="008F7B15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F07794" wp14:editId="19284FF2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49437546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6F61B0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6f61b0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 wp14:anchorId="3A8FAF09" wp14:editId="353AC7FC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948616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1F94" w14:textId="77777777" w:rsidR="00000000" w:rsidRDefault="004C55CE">
      <w:pPr>
        <w:spacing w:after="0" w:line="240" w:lineRule="auto"/>
      </w:pPr>
      <w:r>
        <w:separator/>
      </w:r>
    </w:p>
  </w:footnote>
  <w:footnote w:type="continuationSeparator" w:id="0">
    <w:p w14:paraId="3F82865A" w14:textId="77777777" w:rsidR="00000000" w:rsidRDefault="004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3E7D" w14:textId="77777777" w:rsidR="0098636D" w:rsidRDefault="004C55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2335B2" wp14:editId="35CFD69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5" cy="3856497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385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167378B" wp14:editId="6FCA922E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D39DCC" w14:textId="77777777" w:rsidR="00D35AF9" w:rsidRPr="00D35AF9" w:rsidRDefault="004C55CE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737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in;margin-top:200.8pt;width:190pt;height:2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TL6AEAAKQDAAAOAAAAZHJzL2Uyb0RvYy54bWysU9tu2zAMfR+wfxD0vthxl6I1ohRbu+6l&#10;uwDtPoCR5ViYJGqSEjv7+lHKZcH2NuyFoHg55CGp5d1kDdupEDU6weezmjPlJHbabQT/9vL45oaz&#10;mMB1YNApwfcq8rvV61fL0beqwQFNpwIjEBfb0Qs+pOTbqopyUBbiDL1y5OwxWEj0DJuqCzASujVV&#10;U9fX1Yih8wGlipGsDwcnXxX8vlcyfen7qBIzglNvqchQ5DrLarWEdhPAD1oe24B/6MKCdlT0DPUA&#10;Cdg26L+grJYBI/ZpJtFW2PdaqsKB2MzrP9g8D+BV4ULDif48pvj/YOXn3dfAdCd4w5kDSyt6UVNi&#10;73FiTZ7O6GNLQc+ewtJEZtpyYRr9E8rvkTm8H8Bt1LsQcBwUdNTdPGdWF6kHnJhB1uMn7KgMbBMW&#10;oKkPNo+OhsEInba0P28mtyLJ2LydX9U1uST5rprbxfWilID2lO1DTB8VWpYVwQNtvqDD7imm3A20&#10;p5BczOGjNqZs3zg2Cn67aBYl4cJjdaLjNNoKfkPVqX5JyCQ/uK7oCbQ56FTAuCPrTPRAOU3riQLz&#10;KNbY7Yl/wMMR0qchZcDwk7ORDlDw+GMLQXEGTpJZ8HRS71O5WMIpM6VTKHyOZ5tv7fJdon5/rtUv&#10;AAAA//8DAFBLAwQUAAYACAAAACEAoSX6dt0AAAAMAQAADwAAAGRycy9kb3ducmV2LnhtbEyPwU7D&#10;MAyG70h7h8hI3FhSWDdWmk4IxBXEYEi7ZY3XVmucqsnW8va4Jzj696/Pn/PN6FpxwT40njQkcwUC&#10;qfS2oUrD1+fr7QOIEA1Z03pCDT8YYFPMrnKTWT/QB162sRIMoZAZDXWMXSZlKGt0Jsx9h8S7o++d&#10;iTz2lbS9GRjuWnmn1FI60xBfqE2HzzWWp+3Zadi9HfffC/Vevbi0G/yoJLm11Prmenx6BBFxjH9l&#10;mPRZHQp2Ovgz2SBaDSvGc1XDQiVLEFMjUVN04Ci9T0EWufz/RPELAAD//wMAUEsBAi0AFAAGAAgA&#10;AAAhALaDOJL+AAAA4QEAABMAAAAAAAAAAAAAAAAAAAAAAFtDb250ZW50X1R5cGVzXS54bWxQSwEC&#10;LQAUAAYACAAAACEAOP0h/9YAAACUAQAACwAAAAAAAAAAAAAAAAAvAQAAX3JlbHMvLnJlbHNQSwEC&#10;LQAUAAYACAAAACEAdg/Ey+gBAACkAwAADgAAAAAAAAAAAAAAAAAuAgAAZHJzL2Uyb0RvYy54bWxQ&#10;SwECLQAUAAYACAAAACEAoSX6dt0AAAAMAQAADwAAAAAAAAAAAAAAAABCBAAAZHJzL2Rvd25yZXYu&#10;eG1sUEsFBgAAAAAEAAQA8wAAAEwFAAAAAA==&#10;" filled="f" stroked="f">
              <v:textbox>
                <w:txbxContent>
                  <w:p w14:paraId="07D39DCC" w14:textId="77777777" w:rsidR="00D35AF9" w:rsidRPr="00D35AF9" w:rsidRDefault="004C55CE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063"/>
    <w:multiLevelType w:val="hybridMultilevel"/>
    <w:tmpl w:val="C8E82882"/>
    <w:lvl w:ilvl="0" w:tplc="F222BAF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6F61B0"/>
      </w:rPr>
    </w:lvl>
    <w:lvl w:ilvl="1" w:tplc="35101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A6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43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40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943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CB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6A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528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C79"/>
    <w:multiLevelType w:val="multilevel"/>
    <w:tmpl w:val="FD1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70686"/>
    <w:multiLevelType w:val="hybridMultilevel"/>
    <w:tmpl w:val="409AC006"/>
    <w:lvl w:ilvl="0" w:tplc="7128AA16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A412AE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A1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69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2B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AA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C1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E2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ED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4196"/>
    <w:multiLevelType w:val="multilevel"/>
    <w:tmpl w:val="B13CDD56"/>
    <w:numStyleLink w:val="BulletedList"/>
  </w:abstractNum>
  <w:abstractNum w:abstractNumId="4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61B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601A1"/>
    <w:multiLevelType w:val="hybridMultilevel"/>
    <w:tmpl w:val="43CE94D6"/>
    <w:lvl w:ilvl="0" w:tplc="8EE20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AC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CA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C2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C1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CF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6C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E5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2B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24744"/>
    <w:multiLevelType w:val="hybridMultilevel"/>
    <w:tmpl w:val="D67CDEAC"/>
    <w:lvl w:ilvl="0" w:tplc="FE964D5E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8440F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60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AF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8C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A2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44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4F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381B"/>
    <w:multiLevelType w:val="hybridMultilevel"/>
    <w:tmpl w:val="6B3406E4"/>
    <w:lvl w:ilvl="0" w:tplc="810AF6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61B0"/>
      </w:rPr>
    </w:lvl>
    <w:lvl w:ilvl="1" w:tplc="D6169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29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AB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0E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BAF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86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E4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66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jK0MDI1NzKzNDFS0lEKTi0uzszPAykwrAUA84gFiiwAAAA="/>
  </w:docVars>
  <w:rsids>
    <w:rsidRoot w:val="00E277DB"/>
    <w:rsid w:val="001050A8"/>
    <w:rsid w:val="0012162D"/>
    <w:rsid w:val="001631A4"/>
    <w:rsid w:val="001704CD"/>
    <w:rsid w:val="001725D9"/>
    <w:rsid w:val="00174675"/>
    <w:rsid w:val="00182D24"/>
    <w:rsid w:val="001B1A7E"/>
    <w:rsid w:val="001C5CCB"/>
    <w:rsid w:val="001D0C56"/>
    <w:rsid w:val="001F5D2F"/>
    <w:rsid w:val="0024208C"/>
    <w:rsid w:val="00246124"/>
    <w:rsid w:val="00254638"/>
    <w:rsid w:val="0026000D"/>
    <w:rsid w:val="002A7EE7"/>
    <w:rsid w:val="002B1592"/>
    <w:rsid w:val="002B61D1"/>
    <w:rsid w:val="002F786C"/>
    <w:rsid w:val="003267EB"/>
    <w:rsid w:val="003404A1"/>
    <w:rsid w:val="0036117A"/>
    <w:rsid w:val="00365214"/>
    <w:rsid w:val="003A6B72"/>
    <w:rsid w:val="004363EE"/>
    <w:rsid w:val="00476875"/>
    <w:rsid w:val="0048508B"/>
    <w:rsid w:val="00485C3A"/>
    <w:rsid w:val="004967FA"/>
    <w:rsid w:val="004B125C"/>
    <w:rsid w:val="004C55CE"/>
    <w:rsid w:val="004D34B3"/>
    <w:rsid w:val="004E7A8B"/>
    <w:rsid w:val="00557324"/>
    <w:rsid w:val="00584B55"/>
    <w:rsid w:val="005D05D9"/>
    <w:rsid w:val="00636B41"/>
    <w:rsid w:val="0066265A"/>
    <w:rsid w:val="006A2A41"/>
    <w:rsid w:val="00707343"/>
    <w:rsid w:val="00721E3F"/>
    <w:rsid w:val="00770406"/>
    <w:rsid w:val="00773534"/>
    <w:rsid w:val="00796AD3"/>
    <w:rsid w:val="007A5FA4"/>
    <w:rsid w:val="007C1A45"/>
    <w:rsid w:val="007C698B"/>
    <w:rsid w:val="00802FF0"/>
    <w:rsid w:val="00817EEE"/>
    <w:rsid w:val="00855DD7"/>
    <w:rsid w:val="00856044"/>
    <w:rsid w:val="00860365"/>
    <w:rsid w:val="00871E9E"/>
    <w:rsid w:val="008864AB"/>
    <w:rsid w:val="008A7E71"/>
    <w:rsid w:val="008B03C4"/>
    <w:rsid w:val="008B1A4D"/>
    <w:rsid w:val="008F7B15"/>
    <w:rsid w:val="0090292F"/>
    <w:rsid w:val="00926535"/>
    <w:rsid w:val="009440BA"/>
    <w:rsid w:val="00947E11"/>
    <w:rsid w:val="00962DA6"/>
    <w:rsid w:val="0098636D"/>
    <w:rsid w:val="00993033"/>
    <w:rsid w:val="009A1F7A"/>
    <w:rsid w:val="009A362F"/>
    <w:rsid w:val="009C07B9"/>
    <w:rsid w:val="009D4BB6"/>
    <w:rsid w:val="009D4CF7"/>
    <w:rsid w:val="009E2B6A"/>
    <w:rsid w:val="009E4DC9"/>
    <w:rsid w:val="00A337BD"/>
    <w:rsid w:val="00A47C53"/>
    <w:rsid w:val="00A60303"/>
    <w:rsid w:val="00A65FD8"/>
    <w:rsid w:val="00A85321"/>
    <w:rsid w:val="00AB45CE"/>
    <w:rsid w:val="00AD0649"/>
    <w:rsid w:val="00B3316C"/>
    <w:rsid w:val="00B53C83"/>
    <w:rsid w:val="00B9498B"/>
    <w:rsid w:val="00BA7D47"/>
    <w:rsid w:val="00BC529B"/>
    <w:rsid w:val="00BE45C1"/>
    <w:rsid w:val="00C0075F"/>
    <w:rsid w:val="00C14414"/>
    <w:rsid w:val="00C741AE"/>
    <w:rsid w:val="00C8212C"/>
    <w:rsid w:val="00CA269A"/>
    <w:rsid w:val="00CB623A"/>
    <w:rsid w:val="00CF2976"/>
    <w:rsid w:val="00CF5E21"/>
    <w:rsid w:val="00D115AA"/>
    <w:rsid w:val="00D2167C"/>
    <w:rsid w:val="00D35AF9"/>
    <w:rsid w:val="00D379D5"/>
    <w:rsid w:val="00D47924"/>
    <w:rsid w:val="00D70A44"/>
    <w:rsid w:val="00D76FCB"/>
    <w:rsid w:val="00DC3880"/>
    <w:rsid w:val="00DE53B1"/>
    <w:rsid w:val="00E16E6C"/>
    <w:rsid w:val="00E22262"/>
    <w:rsid w:val="00E277DB"/>
    <w:rsid w:val="00E378E3"/>
    <w:rsid w:val="00E443C6"/>
    <w:rsid w:val="00E73236"/>
    <w:rsid w:val="00E77D2F"/>
    <w:rsid w:val="00EC2053"/>
    <w:rsid w:val="00F32D2D"/>
    <w:rsid w:val="00F32F5A"/>
    <w:rsid w:val="00F8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EB10"/>
  <w15:chartTrackingRefBased/>
  <w15:docId w15:val="{4587D65B-32EE-4B71-9738-4049602D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CB623A"/>
    <w:pPr>
      <w:spacing w:after="120" w:line="228" w:lineRule="auto"/>
    </w:pPr>
    <w:rPr>
      <w:b/>
      <w:color w:val="6F61B0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CB623A"/>
    <w:rPr>
      <w:b/>
      <w:color w:val="6F61B0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66265A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9D4CF7"/>
    <w:pPr>
      <w:numPr>
        <w:numId w:val="3"/>
      </w:numPr>
      <w:tabs>
        <w:tab w:val="left" w:pos="540"/>
      </w:tabs>
      <w:spacing w:after="160"/>
      <w:ind w:left="532" w:hanging="446"/>
      <w:contextualSpacing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9D4CF7"/>
    <w:pPr>
      <w:numPr>
        <w:numId w:val="4"/>
      </w:numPr>
      <w:ind w:left="532" w:hanging="446"/>
    </w:pPr>
  </w:style>
  <w:style w:type="character" w:customStyle="1" w:styleId="CheckboxChar">
    <w:name w:val="Checkbox Char"/>
    <w:basedOn w:val="BulletListChar"/>
    <w:link w:val="Checkbox"/>
    <w:rsid w:val="009D4CF7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B623A"/>
    <w:pPr>
      <w:jc w:val="center"/>
    </w:pPr>
    <w:rPr>
      <w:b/>
      <w:i/>
      <w:color w:val="6F61B0"/>
      <w:sz w:val="36"/>
      <w:szCs w:val="36"/>
    </w:rPr>
  </w:style>
  <w:style w:type="character" w:customStyle="1" w:styleId="XboxChar">
    <w:name w:val="Xbox Char"/>
    <w:basedOn w:val="CheckboxChar"/>
    <w:link w:val="Xbox"/>
    <w:rsid w:val="009D4CF7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B623A"/>
    <w:rPr>
      <w:b/>
      <w:i/>
      <w:color w:val="6F61B0"/>
      <w:sz w:val="36"/>
      <w:szCs w:val="36"/>
    </w:rPr>
  </w:style>
  <w:style w:type="numbering" w:customStyle="1" w:styleId="BulletedList">
    <w:name w:val="Bulleted List"/>
    <w:uiPriority w:val="99"/>
    <w:rsid w:val="00182D24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9D4CF7"/>
    <w:pPr>
      <w:numPr>
        <w:numId w:val="7"/>
      </w:numPr>
      <w:contextualSpacing/>
    </w:pPr>
  </w:style>
  <w:style w:type="character" w:customStyle="1" w:styleId="BulletChar">
    <w:name w:val="Bullet Char"/>
    <w:basedOn w:val="BodyTextChar"/>
    <w:link w:val="Bullet"/>
    <w:rsid w:val="009D4CF7"/>
    <w:rPr>
      <w:rFonts w:ascii="Calibri" w:eastAsia="Times New Roman" w:hAnsi="Calibri" w:cs="Arial"/>
      <w:color w:val="595959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0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A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69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les.house.gov/sites/democrats.rules.house.gov/files/BILLS-116HR133SA-RCP-116-6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Kelliher, Miriam</dc:creator>
  <cp:lastModifiedBy>Sarah Gillespie</cp:lastModifiedBy>
  <cp:revision>2</cp:revision>
  <dcterms:created xsi:type="dcterms:W3CDTF">2021-01-06T15:36:00Z</dcterms:created>
  <dcterms:modified xsi:type="dcterms:W3CDTF">2021-01-06T15:36:00Z</dcterms:modified>
</cp:coreProperties>
</file>