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B01E7" w14:textId="77777777" w:rsidR="0026000D" w:rsidRPr="008A7E71" w:rsidRDefault="009B56DA" w:rsidP="008A7E71">
      <w:pPr>
        <w:pStyle w:val="MainTitle"/>
      </w:pPr>
      <w:r>
        <w:rPr>
          <w:noProof/>
        </w:rPr>
        <w:drawing>
          <wp:anchor distT="0" distB="0" distL="114300" distR="114300" simplePos="0" relativeHeight="251658240" behindDoc="0" locked="1" layoutInCell="1" allowOverlap="1" wp14:anchorId="66E0EF2A" wp14:editId="5E440056">
            <wp:simplePos x="0" y="0"/>
            <wp:positionH relativeFrom="margin">
              <wp:posOffset>5080000</wp:posOffset>
            </wp:positionH>
            <wp:positionV relativeFrom="margin">
              <wp:posOffset>6223000</wp:posOffset>
            </wp:positionV>
            <wp:extent cx="1645923" cy="1120142"/>
            <wp:effectExtent l="0" t="0" r="0" b="0"/>
            <wp:wrapNone/>
            <wp:docPr id="100031" name="Picture 100031"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296150"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4D4D08">
        <w:rPr>
          <w:noProof/>
        </w:rPr>
        <mc:AlternateContent>
          <mc:Choice Requires="wpg">
            <w:drawing>
              <wp:anchor distT="0" distB="0" distL="114300" distR="114300" simplePos="0" relativeHeight="251659264" behindDoc="1" locked="0" layoutInCell="1" allowOverlap="1" wp14:anchorId="71CDDA86" wp14:editId="01454D7B">
                <wp:simplePos x="0" y="0"/>
                <wp:positionH relativeFrom="column">
                  <wp:posOffset>-449580</wp:posOffset>
                </wp:positionH>
                <wp:positionV relativeFrom="page">
                  <wp:posOffset>2499360</wp:posOffset>
                </wp:positionV>
                <wp:extent cx="7772400" cy="3084195"/>
                <wp:effectExtent l="0" t="0" r="0" b="1905"/>
                <wp:wrapNone/>
                <wp:docPr id="16" name="Group 16"/>
                <wp:cNvGraphicFramePr/>
                <a:graphic xmlns:a="http://schemas.openxmlformats.org/drawingml/2006/main">
                  <a:graphicData uri="http://schemas.microsoft.com/office/word/2010/wordprocessingGroup">
                    <wpg:wgp>
                      <wpg:cNvGrpSpPr/>
                      <wpg:grpSpPr>
                        <a:xfrm>
                          <a:off x="0" y="0"/>
                          <a:ext cx="7772400" cy="3084195"/>
                          <a:chOff x="0" y="0"/>
                          <a:chExt cx="7772400" cy="3084195"/>
                        </a:xfrm>
                      </wpg:grpSpPr>
                      <wpg:grpSp>
                        <wpg:cNvPr id="15" name="Group 15"/>
                        <wpg:cNvGrpSpPr/>
                        <wpg:grpSpPr>
                          <a:xfrm>
                            <a:off x="0" y="0"/>
                            <a:ext cx="7772400" cy="637607"/>
                            <a:chOff x="0" y="0"/>
                            <a:chExt cx="7772400" cy="637607"/>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2473"/>
                              <a:ext cx="7772400" cy="635134"/>
                            </a:xfrm>
                            <a:prstGeom prst="rect">
                              <a:avLst/>
                            </a:prstGeom>
                          </pic:spPr>
                        </pic:pic>
                        <wps:wsp>
                          <wps:cNvPr id="13" name="Text Box 2"/>
                          <wps:cNvSpPr txBox="1">
                            <a:spLocks noChangeArrowheads="1"/>
                          </wps:cNvSpPr>
                          <wps:spPr bwMode="auto">
                            <a:xfrm>
                              <a:off x="5318760" y="0"/>
                              <a:ext cx="2293620" cy="342861"/>
                            </a:xfrm>
                            <a:prstGeom prst="rect">
                              <a:avLst/>
                            </a:prstGeom>
                            <a:noFill/>
                            <a:ln w="9525">
                              <a:noFill/>
                              <a:miter lim="800000"/>
                              <a:headEnd/>
                              <a:tailEnd/>
                            </a:ln>
                          </wps:spPr>
                          <wps:txbx>
                            <w:txbxContent>
                              <w:p w14:paraId="231A7D98" w14:textId="77777777" w:rsidR="008864AB" w:rsidRPr="008864AB" w:rsidRDefault="004D4D08" w:rsidP="008864AB">
                                <w:pPr>
                                  <w:pStyle w:val="SubHeader"/>
                                  <w:rPr>
                                    <w:color w:val="FFFFFF" w:themeColor="background1"/>
                                  </w:rPr>
                                </w:pPr>
                                <w:r>
                                  <w:rPr>
                                    <w:color w:val="FFFFFF" w:themeColor="background1"/>
                                  </w:rPr>
                                  <w:t>Highlights</w:t>
                                </w:r>
                              </w:p>
                            </w:txbxContent>
                          </wps:txbx>
                          <wps:bodyPr rot="0" vert="horz" wrap="square" anchor="ctr" anchorCtr="0"/>
                        </wps:wsp>
                      </wpg:grpSp>
                      <wps:wsp>
                        <wps:cNvPr id="217" name="Text Box 2"/>
                        <wps:cNvSpPr txBox="1">
                          <a:spLocks noChangeArrowheads="1"/>
                        </wps:cNvSpPr>
                        <wps:spPr bwMode="auto">
                          <a:xfrm>
                            <a:off x="5288280" y="373380"/>
                            <a:ext cx="2301240" cy="2710815"/>
                          </a:xfrm>
                          <a:prstGeom prst="rect">
                            <a:avLst/>
                          </a:prstGeom>
                          <a:noFill/>
                          <a:ln w="9525">
                            <a:noFill/>
                            <a:miter lim="800000"/>
                            <a:headEnd/>
                            <a:tailEnd/>
                          </a:ln>
                        </wps:spPr>
                        <wps:txbx>
                          <w:txbxContent>
                            <w:p w14:paraId="1DC8A37E" w14:textId="77777777" w:rsidR="009B56DA" w:rsidRDefault="004D4D08" w:rsidP="009603B8">
                              <w:pPr>
                                <w:pStyle w:val="Bullet"/>
                                <w:spacing w:after="120"/>
                                <w:ind w:left="360"/>
                              </w:pPr>
                              <w:r>
                                <w:t>Non-grandfathered group health plans and insurance issuers must cover coronavirus preventive services without cost</w:t>
                              </w:r>
                              <w:r w:rsidR="004B35EC">
                                <w:t xml:space="preserve"> </w:t>
                              </w:r>
                              <w:r>
                                <w:t>sharing.</w:t>
                              </w:r>
                            </w:p>
                            <w:p w14:paraId="3534D28B" w14:textId="77777777" w:rsidR="009B56DA" w:rsidRDefault="004D4D08" w:rsidP="009603B8">
                              <w:pPr>
                                <w:pStyle w:val="Bullet"/>
                                <w:spacing w:after="120"/>
                                <w:ind w:left="360"/>
                              </w:pPr>
                              <w:r>
                                <w:t>Preventive care services include recommended immunizations.</w:t>
                              </w:r>
                            </w:p>
                            <w:p w14:paraId="467DFA0F" w14:textId="77777777" w:rsidR="0024208C" w:rsidRDefault="004D4D08" w:rsidP="009603B8">
                              <w:pPr>
                                <w:pStyle w:val="Bullet"/>
                                <w:spacing w:after="120"/>
                                <w:ind w:left="360"/>
                              </w:pPr>
                              <w:r>
                                <w:t xml:space="preserve">During the COVID-19 public health emergency, this </w:t>
                              </w:r>
                              <w:r>
                                <w:t>coverage must be provided for both in-network and out-of-network providers.</w:t>
                              </w:r>
                            </w:p>
                          </w:txbxContent>
                        </wps:txbx>
                        <wps:bodyPr rot="0" vert="horz" wrap="square" anchor="t" anchorCtr="0"/>
                      </wps:wsp>
                    </wpg:wgp>
                  </a:graphicData>
                </a:graphic>
                <wp14:sizeRelV relativeFrom="margin">
                  <wp14:pctHeight>0</wp14:pctHeight>
                </wp14:sizeRelV>
              </wp:anchor>
            </w:drawing>
          </mc:Choice>
          <mc:Fallback>
            <w:pict>
              <v:group id="Group 16" o:spid="_x0000_s1025" style="width:612pt;height:242.85pt;margin-top:196.8pt;margin-left:-35.4pt;mso-height-relative:margin;mso-position-vertical-relative:page;position:absolute;z-index:-251656192" coordsize="77724,30841">
                <v:group id="Group 15" o:spid="_x0000_s1026" style="width:77724;height:6376;position:absolute" coordsize="77724,6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width:77724;height:6352;mso-wrap-style:square;position:absolute;top:24;visibility:visible">
                    <v:imagedata r:id="rId9" o:title=""/>
                  </v:shape>
                  <v:shapetype id="_x0000_t202" coordsize="21600,21600" o:spt="202" path="m,l,21600r21600,l21600,xe">
                    <v:stroke joinstyle="miter"/>
                    <v:path gradientshapeok="t" o:connecttype="rect"/>
                  </v:shapetype>
                  <v:shape id="_x0000_s1028" type="#_x0000_t202" style="width:22936;height:3428;left:53187;mso-wrap-style:square;position:absolute;visibility:visible;v-text-anchor:middle" filled="f" stroked="f">
                    <v:textbox>
                      <w:txbxContent>
                        <w:p w:rsidR="008864AB" w:rsidRPr="008864AB" w:rsidP="008864AB">
                          <w:pPr>
                            <w:pStyle w:val="SubHeader"/>
                            <w:rPr>
                              <w:color w:val="FFFFFF" w:themeColor="background1"/>
                            </w:rPr>
                          </w:pPr>
                          <w:r>
                            <w:rPr>
                              <w:color w:val="FFFFFF" w:themeColor="background1"/>
                            </w:rPr>
                            <w:t>Highlights</w:t>
                          </w:r>
                        </w:p>
                      </w:txbxContent>
                    </v:textbox>
                  </v:shape>
                </v:group>
                <v:shape id="_x0000_s1029" type="#_x0000_t202" style="width:23013;height:27108;left:52882;mso-wrap-style:square;position:absolute;top:3733;visibility:visible;v-text-anchor:top" filled="f" stroked="f">
                  <v:textbox>
                    <w:txbxContent>
                      <w:p w:rsidR="009B56DA" w:rsidP="009603B8">
                        <w:pPr>
                          <w:pStyle w:val="Bullet"/>
                          <w:spacing w:after="120"/>
                          <w:ind w:left="360"/>
                        </w:pPr>
                        <w:r>
                          <w:t>Non-grandfathered group health plans and insurance issuers must cover coronavirus preventive services without cost</w:t>
                        </w:r>
                        <w:r w:rsidR="004B35EC">
                          <w:t xml:space="preserve"> </w:t>
                        </w:r>
                        <w:r>
                          <w:t>sharing.</w:t>
                        </w:r>
                      </w:p>
                      <w:p w:rsidR="009B56DA" w:rsidP="009603B8">
                        <w:pPr>
                          <w:pStyle w:val="Bullet"/>
                          <w:spacing w:after="120"/>
                          <w:ind w:left="360"/>
                        </w:pPr>
                        <w:r>
                          <w:t>Preventive care services include recommended immunizations.</w:t>
                        </w:r>
                      </w:p>
                      <w:p w:rsidR="0024208C" w:rsidP="009603B8">
                        <w:pPr>
                          <w:pStyle w:val="Bullet"/>
                          <w:spacing w:after="120"/>
                          <w:ind w:left="360"/>
                        </w:pPr>
                        <w:r>
                          <w:t>During the COVID-19 public health emergency, this coverage must be provided for both in-network and out-of-network providers.</w:t>
                        </w:r>
                      </w:p>
                    </w:txbxContent>
                  </v:textbox>
                </v:shape>
              </v:group>
            </w:pict>
          </mc:Fallback>
        </mc:AlternateContent>
      </w:r>
      <w:r>
        <w:t xml:space="preserve">Health </w:t>
      </w:r>
      <w:r w:rsidR="00673115">
        <w:t>Plans Must Cover</w:t>
      </w:r>
      <w:r w:rsidR="009D7B8E">
        <w:t xml:space="preserve"> COVID-19 Vaccine</w:t>
      </w:r>
      <w:r w:rsidR="003D0BAB">
        <w:t xml:space="preserve"> </w:t>
      </w:r>
      <w:r w:rsidR="00673115">
        <w:t>Without Cost</w:t>
      </w:r>
      <w:r w:rsidR="004B35EC">
        <w:t xml:space="preserve"> S</w:t>
      </w:r>
      <w:r w:rsidR="00673115">
        <w:t>haring</w:t>
      </w:r>
    </w:p>
    <w:p w14:paraId="02C4CF24" w14:textId="77777777" w:rsidR="00D96AB3" w:rsidRDefault="004D4D08" w:rsidP="00A5401B">
      <w:pPr>
        <w:pStyle w:val="BodyText"/>
      </w:pPr>
      <w:r>
        <w:t xml:space="preserve">On Dec. 12, 2020, the </w:t>
      </w:r>
      <w:r w:rsidRPr="0083471B">
        <w:t xml:space="preserve">Advisory Committee on Immunization Practices (ACIP) </w:t>
      </w:r>
      <w:r w:rsidRPr="00F51461">
        <w:t>of the Centers for Disease Control and Preve</w:t>
      </w:r>
      <w:r w:rsidRPr="00F51461">
        <w:t>ntion (CDC)</w:t>
      </w:r>
      <w:r>
        <w:t xml:space="preserve"> </w:t>
      </w:r>
      <w:r w:rsidRPr="0083471B">
        <w:t>recommend</w:t>
      </w:r>
      <w:r>
        <w:t xml:space="preserve">ed use of Pfizer Inc.’s COVID-19 </w:t>
      </w:r>
      <w:r w:rsidRPr="0083471B">
        <w:t>vaccine</w:t>
      </w:r>
      <w:r>
        <w:t xml:space="preserve"> f</w:t>
      </w:r>
      <w:r w:rsidRPr="00582214">
        <w:t>or individuals 16 years of age and older</w:t>
      </w:r>
      <w:r>
        <w:t>. The Food and Drug Administration (FDA) approved the vaccine one day earlier.</w:t>
      </w:r>
    </w:p>
    <w:p w14:paraId="534B51D9" w14:textId="77777777" w:rsidR="009B56DA" w:rsidRDefault="004D4D08" w:rsidP="009B56DA">
      <w:pPr>
        <w:pStyle w:val="BodyText"/>
      </w:pPr>
      <w:r>
        <w:t xml:space="preserve">The ACIP recommendation triggers the </w:t>
      </w:r>
      <w:hyperlink r:id="rId10" w:history="1">
        <w:r w:rsidRPr="00D96AB3">
          <w:rPr>
            <w:rStyle w:val="Hyperlink"/>
          </w:rPr>
          <w:t>requirement</w:t>
        </w:r>
      </w:hyperlink>
      <w:r>
        <w:t xml:space="preserve"> for non-grandfathered group health plans and health insurance issuers to cover the vaccine without cost</w:t>
      </w:r>
      <w:r w:rsidR="004B35EC">
        <w:t xml:space="preserve"> </w:t>
      </w:r>
      <w:r>
        <w:t>sh</w:t>
      </w:r>
      <w:r>
        <w:t xml:space="preserve">aring. Grandfathered plans may choose to cover the vaccine, and could be required to do so under state law or </w:t>
      </w:r>
      <w:r w:rsidR="00025978">
        <w:t xml:space="preserve">applicable </w:t>
      </w:r>
      <w:r>
        <w:t>insurance polic</w:t>
      </w:r>
      <w:r w:rsidR="00025978">
        <w:t>ies</w:t>
      </w:r>
      <w:r>
        <w:t>.</w:t>
      </w:r>
    </w:p>
    <w:p w14:paraId="0B8FCD66" w14:textId="77777777" w:rsidR="009B56DA" w:rsidRDefault="004D4D08" w:rsidP="009603B8">
      <w:pPr>
        <w:pStyle w:val="SubHeader"/>
      </w:pPr>
      <w:r>
        <w:t xml:space="preserve">Coverage </w:t>
      </w:r>
      <w:r w:rsidR="00025978">
        <w:t>of COVID-19 Preventive Care Services</w:t>
      </w:r>
    </w:p>
    <w:p w14:paraId="26C78B30" w14:textId="77777777" w:rsidR="00025978" w:rsidRDefault="004D4D08" w:rsidP="00A5401B">
      <w:pPr>
        <w:pStyle w:val="BodyText"/>
      </w:pPr>
      <w:r>
        <w:t>Non-grandfathered group health plans, and health insurance issuers of</w:t>
      </w:r>
      <w:r>
        <w:t>fering group or individual health insurance coverage, must cover coronavirus preventive services, including recommended COVID–19 immunizations, without cost</w:t>
      </w:r>
      <w:r w:rsidR="004B35EC">
        <w:t xml:space="preserve"> </w:t>
      </w:r>
      <w:r>
        <w:t>sharing. During the COVID-19 public health emergency, covered services may be provided by in-networ</w:t>
      </w:r>
      <w:r>
        <w:t>k or out-of-network providers.</w:t>
      </w:r>
    </w:p>
    <w:p w14:paraId="50336EB4" w14:textId="77777777" w:rsidR="00025978" w:rsidRDefault="004D4D08" w:rsidP="00025978">
      <w:pPr>
        <w:pStyle w:val="BodyText"/>
      </w:pPr>
      <w:r>
        <w:t>Coverage of these immunizations must be provided, even if not listed for routine use on the CDC’s Immunization Schedules. Plans and issuers subject to Section 2713 of the Public Health Service Act must also cover, without cos</w:t>
      </w:r>
      <w:r>
        <w:t>t sharing, items and services that are integral to the furnishing of recommended preventive services, including immunization administration.</w:t>
      </w:r>
    </w:p>
    <w:p w14:paraId="602AC70E" w14:textId="77777777" w:rsidR="00025978" w:rsidRDefault="004D4D08" w:rsidP="00025978">
      <w:pPr>
        <w:pStyle w:val="SubHeader"/>
      </w:pPr>
      <w:r>
        <w:t>Coverage Effective Date</w:t>
      </w:r>
    </w:p>
    <w:p w14:paraId="642351DB" w14:textId="77777777" w:rsidR="00025978" w:rsidRDefault="004D4D08" w:rsidP="00025978">
      <w:pPr>
        <w:pStyle w:val="BodyText"/>
      </w:pPr>
      <w:r>
        <w:t>Under the Coronavirus Aid, Relief, and Economic Security Act (CARES Act), plans and issuers</w:t>
      </w:r>
      <w:r>
        <w:t xml:space="preserve"> must cover the vaccine within </w:t>
      </w:r>
      <w:r w:rsidRPr="002066AD">
        <w:rPr>
          <w:b/>
        </w:rPr>
        <w:t>15 business days</w:t>
      </w:r>
      <w:r>
        <w:t xml:space="preserve">. It is widely understood that coverage of the COVID-19 vaccine must begin no later than </w:t>
      </w:r>
      <w:r w:rsidRPr="008E091E">
        <w:rPr>
          <w:b/>
        </w:rPr>
        <w:t>Jan. 1, 202</w:t>
      </w:r>
      <w:r w:rsidR="00543819">
        <w:rPr>
          <w:b/>
        </w:rPr>
        <w:t>1</w:t>
      </w:r>
      <w:r>
        <w:t xml:space="preserve">. Plans and carriers may choose to cover the vaccine before this date. As additional forms of the </w:t>
      </w:r>
      <w:r>
        <w:t>vaccine are approved by the FDA and recommended by ACIP, they will be required to be covered as well.</w:t>
      </w:r>
    </w:p>
    <w:p w14:paraId="3A081C5F" w14:textId="77777777" w:rsidR="009D7B8E" w:rsidRDefault="009D7B8E" w:rsidP="006D795A">
      <w:pPr>
        <w:pStyle w:val="SubHeader"/>
      </w:pPr>
    </w:p>
    <w:p w14:paraId="64352BDF" w14:textId="77777777" w:rsidR="008A7E71" w:rsidRPr="004967FA" w:rsidRDefault="004D4D08" w:rsidP="004967FA">
      <w:pPr>
        <w:pStyle w:val="BodyText"/>
      </w:pPr>
      <w:r>
        <w:rPr>
          <w:noProof/>
        </w:rPr>
        <mc:AlternateContent>
          <mc:Choice Requires="wps">
            <w:drawing>
              <wp:anchor distT="0" distB="0" distL="114300" distR="114300" simplePos="0" relativeHeight="251664384" behindDoc="0" locked="0" layoutInCell="1" allowOverlap="1" wp14:anchorId="5ABA1277" wp14:editId="2F635492">
                <wp:simplePos x="0" y="0"/>
                <wp:positionH relativeFrom="margin">
                  <wp:posOffset>-66040</wp:posOffset>
                </wp:positionH>
                <wp:positionV relativeFrom="margin">
                  <wp:posOffset>6163641</wp:posOffset>
                </wp:positionV>
                <wp:extent cx="4409440" cy="5384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09440" cy="538480"/>
                        </a:xfrm>
                        <a:prstGeom prst="rect">
                          <a:avLst/>
                        </a:prstGeom>
                        <a:noFill/>
                        <a:ln w="6350">
                          <a:noFill/>
                        </a:ln>
                        <a:effectLst/>
                      </wps:spPr>
                      <wps:txbx>
                        <w:txbxContent>
                          <w:p w14:paraId="0D9189E3" w14:textId="77777777" w:rsidR="008F7B15" w:rsidRPr="008864AB" w:rsidRDefault="004D4D08" w:rsidP="008F7B15">
                            <w:pPr>
                              <w:pStyle w:val="Header"/>
                              <w:rPr>
                                <w:sz w:val="20"/>
                                <w:szCs w:val="20"/>
                              </w:rPr>
                            </w:pPr>
                            <w:r w:rsidRPr="008864AB">
                              <w:rPr>
                                <w:color w:val="595959" w:themeColor="text1" w:themeTint="A6"/>
                                <w:sz w:val="20"/>
                                <w:szCs w:val="20"/>
                              </w:rPr>
                              <w:t xml:space="preserve">Provided to you by </w:t>
                            </w:r>
                            <w:r w:rsidR="008E091E">
                              <w:rPr>
                                <w:b/>
                                <w:color w:val="5083C9"/>
                                <w:sz w:val="20"/>
                                <w:szCs w:val="20"/>
                              </w:rPr>
                              <w:t>Lipscomb &amp; Pitts Insurance, LLC</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width:347.2pt;height:42.4pt;margin-top:485.33pt;margin-left:-5.2pt;mso-height-percent:0;mso-height-relative:margin;mso-position-horizontal-relative:margin;mso-position-vertical-relative:margin;mso-width-percent:0;mso-width-relative:margin;mso-wrap-distance-bottom:0;mso-wrap-distance-left:9pt;mso-wrap-distance-right:9pt;mso-wrap-distance-top:0;position:absolute;v-text-anchor:top;z-index:251663360" filled="f" fillcolor="this" stroked="f" strokeweight="0.5pt">
                <v:textbox>
                  <w:txbxContent>
                    <w:p w:rsidR="008F7B15" w:rsidRPr="008864AB" w:rsidP="008F7B15">
                      <w:pPr>
                        <w:pStyle w:val="Header"/>
                        <w:rPr>
                          <w:sz w:val="20"/>
                          <w:szCs w:val="20"/>
                        </w:rPr>
                      </w:pPr>
                      <w:r w:rsidRPr="008864AB">
                        <w:rPr>
                          <w:color w:val="595959" w:themeColor="text1" w:themeTint="A6"/>
                          <w:sz w:val="20"/>
                          <w:szCs w:val="20"/>
                        </w:rPr>
                        <w:t xml:space="preserve">Provided to you by </w:t>
                      </w:r>
                      <w:r w:rsidR="008E091E">
                        <w:rPr>
                          <w:b/>
                          <w:color w:val="5083C9"/>
                          <w:sz w:val="20"/>
                          <w:szCs w:val="20"/>
                        </w:rPr>
                        <w:t>Lipscomb &amp; Pitts Insurance, LLC</w:t>
                      </w:r>
                    </w:p>
                  </w:txbxContent>
                </v:textbox>
                <w10:wrap anchorx="margin" anchory="margin"/>
              </v:shape>
            </w:pict>
          </mc:Fallback>
        </mc:AlternateContent>
      </w:r>
      <w:r w:rsidR="0022430C">
        <w:rPr>
          <w:noProof/>
        </w:rPr>
        <mc:AlternateContent>
          <mc:Choice Requires="wpg">
            <w:drawing>
              <wp:anchor distT="0" distB="0" distL="114300" distR="114300" simplePos="0" relativeHeight="251661312" behindDoc="1" locked="0" layoutInCell="1" allowOverlap="1" wp14:anchorId="10B03537" wp14:editId="52F64018">
                <wp:simplePos x="0" y="0"/>
                <wp:positionH relativeFrom="page">
                  <wp:posOffset>0</wp:posOffset>
                </wp:positionH>
                <wp:positionV relativeFrom="page">
                  <wp:posOffset>5614416</wp:posOffset>
                </wp:positionV>
                <wp:extent cx="7771765" cy="2522855"/>
                <wp:effectExtent l="0" t="0" r="635" b="0"/>
                <wp:wrapNone/>
                <wp:docPr id="11" name="Group 11"/>
                <wp:cNvGraphicFramePr/>
                <a:graphic xmlns:a="http://schemas.openxmlformats.org/drawingml/2006/main">
                  <a:graphicData uri="http://schemas.microsoft.com/office/word/2010/wordprocessingGroup">
                    <wpg:wgp>
                      <wpg:cNvGrpSpPr/>
                      <wpg:grpSpPr>
                        <a:xfrm>
                          <a:off x="0" y="0"/>
                          <a:ext cx="7771765" cy="2522855"/>
                          <a:chOff x="0" y="0"/>
                          <a:chExt cx="7771765" cy="2523226"/>
                        </a:xfrm>
                      </wpg:grpSpPr>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771765" cy="629920"/>
                          </a:xfrm>
                          <a:prstGeom prst="rect">
                            <a:avLst/>
                          </a:prstGeom>
                        </pic:spPr>
                      </pic:pic>
                      <wps:wsp>
                        <wps:cNvPr id="10" name="Text Box 2"/>
                        <wps:cNvSpPr txBox="1">
                          <a:spLocks noChangeArrowheads="1"/>
                        </wps:cNvSpPr>
                        <wps:spPr bwMode="auto">
                          <a:xfrm>
                            <a:off x="5318760" y="68580"/>
                            <a:ext cx="2293620" cy="2454646"/>
                          </a:xfrm>
                          <a:prstGeom prst="rect">
                            <a:avLst/>
                          </a:prstGeom>
                          <a:noFill/>
                          <a:ln w="9525">
                            <a:noFill/>
                            <a:miter lim="800000"/>
                            <a:headEnd/>
                            <a:tailEnd/>
                          </a:ln>
                        </wps:spPr>
                        <wps:txbx>
                          <w:txbxContent>
                            <w:p w14:paraId="3A4A0065" w14:textId="77777777" w:rsidR="00A47C53" w:rsidRPr="00A47C53" w:rsidRDefault="004D4D08" w:rsidP="00CF5E21">
                              <w:pPr>
                                <w:pStyle w:val="CallOutBox"/>
                              </w:pPr>
                              <w:r>
                                <w:t>I</w:t>
                              </w:r>
                              <w:r w:rsidRPr="007D5A6C">
                                <w:t xml:space="preserve">t is widely understood that coverage of the COVID-19 vaccine must begin no later than Jan. 1, </w:t>
                              </w:r>
                              <w:r w:rsidRPr="007D5A6C">
                                <w:t>202</w:t>
                              </w:r>
                              <w:r w:rsidR="00543819">
                                <w:t>1</w:t>
                              </w:r>
                              <w:r w:rsidRPr="007D5A6C">
                                <w:t>.</w:t>
                              </w:r>
                            </w:p>
                          </w:txbxContent>
                        </wps:txbx>
                        <wps:bodyPr rot="0" vert="horz" wrap="square" anchor="ctr" anchorCtr="0"/>
                      </wps:wsp>
                    </wpg:wgp>
                  </a:graphicData>
                </a:graphic>
              </wp:anchor>
            </w:drawing>
          </mc:Choice>
          <mc:Fallback>
            <w:pict>
              <v:group id="Group 11" o:spid="_x0000_s1031" style="width:611.95pt;height:198.65pt;margin-top:442.1pt;margin-left:0;mso-position-horizontal-relative:page;mso-position-vertical-relative:page;position:absolute;z-index:-251654144" coordsize="77717,25232">
                <v:shape id="Picture 5" o:spid="_x0000_s1032" type="#_x0000_t75" style="width:77717;height:6299;mso-wrap-style:square;position:absolute;visibility:visible">
                  <v:imagedata r:id="rId12" o:title=""/>
                </v:shape>
                <v:shape id="_x0000_s1033" type="#_x0000_t202" style="width:22936;height:24547;left:53187;mso-wrap-style:square;position:absolute;top:685;visibility:visible;v-text-anchor:middle" filled="f" stroked="f">
                  <v:textbox>
                    <w:txbxContent>
                      <w:p w:rsidR="00A47C53" w:rsidRPr="00A47C53" w:rsidP="00CF5E21">
                        <w:pPr>
                          <w:pStyle w:val="CallOutBox"/>
                        </w:pPr>
                        <w:r>
                          <w:t>I</w:t>
                        </w:r>
                        <w:r w:rsidRPr="007D5A6C">
                          <w:t>t is widely understood that coverage of the COVID-19 vaccine must begin no later than Jan. 1, 202</w:t>
                        </w:r>
                        <w:r w:rsidR="00543819">
                          <w:t>1</w:t>
                        </w:r>
                        <w:r w:rsidRPr="007D5A6C">
                          <w:t>.</w:t>
                        </w:r>
                      </w:p>
                    </w:txbxContent>
                  </v:textbox>
                </v:shape>
              </v:group>
            </w:pict>
          </mc:Fallback>
        </mc:AlternateContent>
      </w:r>
      <w:r w:rsidR="008A7E71" w:rsidRPr="008A7E71">
        <w:t xml:space="preserve"> </w:t>
      </w:r>
    </w:p>
    <w:sectPr w:rsidR="008A7E71" w:rsidRPr="004967FA" w:rsidSect="008A7E71">
      <w:headerReference w:type="default" r:id="rId13"/>
      <w:footerReference w:type="default" r:id="rId14"/>
      <w:pgSz w:w="12240" w:h="15840"/>
      <w:pgMar w:top="3946" w:right="468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0284A" w14:textId="77777777" w:rsidR="00000000" w:rsidRDefault="004D4D08">
      <w:pPr>
        <w:spacing w:after="0" w:line="240" w:lineRule="auto"/>
      </w:pPr>
      <w:r>
        <w:separator/>
      </w:r>
    </w:p>
  </w:endnote>
  <w:endnote w:type="continuationSeparator" w:id="0">
    <w:p w14:paraId="76595C15" w14:textId="77777777" w:rsidR="00000000" w:rsidRDefault="004D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7827" w14:textId="77777777" w:rsidR="0098636D" w:rsidRDefault="004D4D08">
    <w:pPr>
      <w:pStyle w:val="Footer"/>
    </w:pPr>
    <w:r>
      <w:rPr>
        <w:noProof/>
      </w:rPr>
      <mc:AlternateContent>
        <mc:Choice Requires="wps">
          <w:drawing>
            <wp:anchor distT="0" distB="0" distL="114300" distR="114300" simplePos="0" relativeHeight="251662336" behindDoc="0" locked="0" layoutInCell="1" allowOverlap="1" wp14:anchorId="3FBEC409" wp14:editId="147351C2">
              <wp:simplePos x="0" y="0"/>
              <wp:positionH relativeFrom="margin">
                <wp:posOffset>7620</wp:posOffset>
              </wp:positionH>
              <wp:positionV relativeFrom="margin">
                <wp:posOffset>6178219</wp:posOffset>
              </wp:positionV>
              <wp:extent cx="4366260" cy="0"/>
              <wp:effectExtent l="19050" t="19050" r="15240" b="19050"/>
              <wp:wrapNone/>
              <wp:docPr id="842559865" name="Straight Connector 1"/>
              <wp:cNvGraphicFramePr/>
              <a:graphic xmlns:a="http://schemas.openxmlformats.org/drawingml/2006/main">
                <a:graphicData uri="http://schemas.microsoft.com/office/word/2010/wordprocessingShape">
                  <wps:wsp>
                    <wps:cNvCnPr/>
                    <wps:spPr>
                      <a:xfrm flipH="1" flipV="1">
                        <a:off x="0" y="0"/>
                        <a:ext cx="4366260" cy="0"/>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0"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3360" from="0.6pt,486.45pt" to="344.4pt,486.45pt" strokecolor="#4472c4" strokeweight="3.5pt">
              <v:stroke joinstyle="miter" opacity="49087f"/>
              <w10:wrap anchorx="margin" anchory="margin"/>
            </v:line>
          </w:pict>
        </mc:Fallback>
      </mc:AlternateContent>
    </w:r>
    <w:r w:rsidR="008864AB">
      <w:rPr>
        <w:noProof/>
      </w:rPr>
      <mc:AlternateContent>
        <mc:Choice Requires="wps">
          <w:drawing>
            <wp:anchor distT="0" distB="0" distL="114300" distR="114300" simplePos="0" relativeHeight="251660288" behindDoc="0" locked="0" layoutInCell="1" allowOverlap="1" wp14:anchorId="271433B4" wp14:editId="4D104B05">
              <wp:simplePos x="0" y="0"/>
              <wp:positionH relativeFrom="margin">
                <wp:posOffset>-53340</wp:posOffset>
              </wp:positionH>
              <wp:positionV relativeFrom="paragraph">
                <wp:posOffset>-294005</wp:posOffset>
              </wp:positionV>
              <wp:extent cx="4732020" cy="55626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4732020" cy="556260"/>
                      </a:xfrm>
                      <a:prstGeom prst="rect">
                        <a:avLst/>
                      </a:prstGeom>
                      <a:noFill/>
                      <a:ln w="6350">
                        <a:noFill/>
                      </a:ln>
                      <a:effectLst/>
                    </wps:spPr>
                    <wps:txbx>
                      <w:txbxContent>
                        <w:p w14:paraId="3005059B" w14:textId="77777777" w:rsidR="00796AD3" w:rsidRPr="00817EEE" w:rsidRDefault="004D4D08" w:rsidP="00796AD3">
                          <w:pPr>
                            <w:pStyle w:val="Disclaimer"/>
                          </w:pPr>
                          <w:r w:rsidRPr="00947E11">
                            <w:rPr>
                              <w:szCs w:val="16"/>
                            </w:rPr>
                            <w:t xml:space="preserve">This </w:t>
                          </w:r>
                          <w:r>
                            <w:rPr>
                              <w:szCs w:val="16"/>
                            </w:rPr>
                            <w:t>Legal Update</w:t>
                          </w:r>
                          <w:r w:rsidRPr="00947E11">
                            <w:rPr>
                              <w:szCs w:val="16"/>
                            </w:rPr>
                            <w:t xml:space="preserve"> is not intended to be exhaustive nor should any discussion or </w:t>
                          </w:r>
                          <w:r w:rsidR="008864AB">
                            <w:rPr>
                              <w:szCs w:val="16"/>
                            </w:rPr>
                            <w:t>o</w:t>
                          </w:r>
                          <w:r w:rsidRPr="00947E11">
                            <w:rPr>
                              <w:szCs w:val="16"/>
                            </w:rPr>
                            <w:t xml:space="preserve">pinions be construed as legal advice. Readers should contact </w:t>
                          </w:r>
                          <w:r>
                            <w:rPr>
                              <w:szCs w:val="16"/>
                            </w:rPr>
                            <w:t xml:space="preserve">legal counsel for legal advice. </w:t>
                          </w:r>
                          <w:r w:rsidRPr="00817EEE">
                            <w:t>©20</w:t>
                          </w:r>
                          <w:r w:rsidR="00CE0EFA">
                            <w:t>20</w:t>
                          </w:r>
                          <w:r>
                            <w:t xml:space="preserve"> </w:t>
                          </w:r>
                          <w:r w:rsidRPr="00817EEE">
                            <w:t>Zywave, Inc.</w:t>
                          </w:r>
                          <w:r>
                            <w:t xml:space="preserve"> </w:t>
                          </w:r>
                          <w:r w:rsidRPr="00817EEE">
                            <w:t>All rights reserved.</w:t>
                          </w:r>
                        </w:p>
                        <w:p w14:paraId="4BB4C753" w14:textId="77777777" w:rsidR="00796AD3" w:rsidRPr="00947E11" w:rsidRDefault="00796AD3" w:rsidP="00796AD3">
                          <w:pPr>
                            <w:pStyle w:val="Disclaimer"/>
                            <w:rPr>
                              <w:szCs w:val="16"/>
                            </w:rPr>
                          </w:pPr>
                        </w:p>
                        <w:p w14:paraId="714FA7F2" w14:textId="77777777" w:rsidR="00796AD3" w:rsidRPr="00947E11" w:rsidRDefault="00796AD3" w:rsidP="00796AD3">
                          <w:pPr>
                            <w:pStyle w:val="Disclaimer"/>
                            <w:rPr>
                              <w:szCs w:val="16"/>
                            </w:rPr>
                          </w:pPr>
                        </w:p>
                        <w:p w14:paraId="17EAE53B" w14:textId="77777777" w:rsidR="008F7B15" w:rsidRPr="00947E11" w:rsidRDefault="008F7B15"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2051" type="#_x0000_t202" style="width:372.6pt;height:43.8pt;margin-top:-23.15pt;margin-left:-4.2pt;mso-height-percent:0;mso-height-relative:margin;mso-position-horizontal-relative:margin;mso-width-percent:0;mso-width-relative:margin;mso-wrap-distance-bottom:0;mso-wrap-distance-left:9pt;mso-wrap-distance-right:9pt;mso-wrap-distance-top:0;mso-wrap-style:square;position:absolute;visibility:visible;v-text-anchor:top;z-index:251661312" filled="f" stroked="f" strokeweight="0.5pt">
              <v:textbox>
                <w:txbxContent>
                  <w:p w:rsidR="00796AD3" w:rsidRPr="00817EEE" w:rsidP="00796AD3">
                    <w:pPr>
                      <w:pStyle w:val="Disclaimer"/>
                    </w:pPr>
                    <w:r w:rsidRPr="00947E11">
                      <w:rPr>
                        <w:szCs w:val="16"/>
                      </w:rPr>
                      <w:t xml:space="preserve">This </w:t>
                    </w:r>
                    <w:r>
                      <w:rPr>
                        <w:szCs w:val="16"/>
                      </w:rPr>
                      <w:t>Legal Update</w:t>
                    </w:r>
                    <w:r w:rsidRPr="00947E11">
                      <w:rPr>
                        <w:szCs w:val="16"/>
                      </w:rPr>
                      <w:t xml:space="preserve"> is not intended to be exhaustive nor should any discussion or </w:t>
                    </w:r>
                    <w:r w:rsidR="008864AB">
                      <w:rPr>
                        <w:szCs w:val="16"/>
                      </w:rPr>
                      <w:t>o</w:t>
                    </w:r>
                    <w:r w:rsidRPr="00947E11">
                      <w:rPr>
                        <w:szCs w:val="16"/>
                      </w:rPr>
                      <w:t xml:space="preserve">pinions be construed as legal advice. Readers should contact </w:t>
                    </w:r>
                    <w:r>
                      <w:rPr>
                        <w:szCs w:val="16"/>
                      </w:rPr>
                      <w:t xml:space="preserve">legal counsel for legal advice. </w:t>
                    </w:r>
                    <w:r w:rsidRPr="00817EEE">
                      <w:t>©20</w:t>
                    </w:r>
                    <w:r w:rsidR="00CE0EFA">
                      <w:t>20</w:t>
                    </w:r>
                    <w:r>
                      <w:t xml:space="preserve"> </w:t>
                    </w:r>
                    <w:r w:rsidRPr="00817EEE">
                      <w:t>Zywave, Inc.</w:t>
                    </w:r>
                    <w:r>
                      <w:t xml:space="preserve"> </w:t>
                    </w:r>
                    <w:r w:rsidRPr="00817EEE">
                      <w:t>All rights reserved.</w:t>
                    </w:r>
                  </w:p>
                  <w:p w:rsidR="00796AD3" w:rsidRPr="00947E11" w:rsidP="00796AD3">
                    <w:pPr>
                      <w:pStyle w:val="Disclaimer"/>
                      <w:rPr>
                        <w:szCs w:val="16"/>
                      </w:rPr>
                    </w:pPr>
                  </w:p>
                  <w:p w:rsidR="00796AD3" w:rsidRPr="00947E11" w:rsidP="00796AD3">
                    <w:pPr>
                      <w:pStyle w:val="Disclaimer"/>
                      <w:rPr>
                        <w:szCs w:val="16"/>
                      </w:rPr>
                    </w:pPr>
                  </w:p>
                  <w:p w:rsidR="008F7B15" w:rsidRPr="00947E11" w:rsidP="008F7B15">
                    <w:pPr>
                      <w:pStyle w:val="Disclaimer"/>
                      <w:rPr>
                        <w:szCs w:val="16"/>
                      </w:rPr>
                    </w:pPr>
                  </w:p>
                </w:txbxContent>
              </v:textbox>
              <w10:wrap anchorx="margin"/>
            </v:shape>
          </w:pict>
        </mc:Fallback>
      </mc:AlternateContent>
    </w:r>
    <w:r w:rsidR="0098636D">
      <w:rPr>
        <w:noProof/>
      </w:rPr>
      <w:drawing>
        <wp:anchor distT="0" distB="0" distL="114300" distR="114300" simplePos="0" relativeHeight="251659264" behindDoc="1" locked="0" layoutInCell="1" allowOverlap="1" wp14:anchorId="051AD55D" wp14:editId="7177FC64">
          <wp:simplePos x="0" y="0"/>
          <wp:positionH relativeFrom="page">
            <wp:posOffset>0</wp:posOffset>
          </wp:positionH>
          <wp:positionV relativeFrom="paragraph">
            <wp:posOffset>1492575</wp:posOffset>
          </wp:positionV>
          <wp:extent cx="7772400" cy="6309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366799"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5ACA3" w14:textId="77777777" w:rsidR="00000000" w:rsidRDefault="004D4D08">
      <w:pPr>
        <w:spacing w:after="0" w:line="240" w:lineRule="auto"/>
      </w:pPr>
      <w:r>
        <w:separator/>
      </w:r>
    </w:p>
  </w:footnote>
  <w:footnote w:type="continuationSeparator" w:id="0">
    <w:p w14:paraId="3717A4CA" w14:textId="77777777" w:rsidR="00000000" w:rsidRDefault="004D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385E" w14:textId="77777777" w:rsidR="0098636D" w:rsidRDefault="004D4D08">
    <w:pPr>
      <w:pStyle w:val="Header"/>
    </w:pPr>
    <w:r>
      <w:rPr>
        <w:noProof/>
      </w:rPr>
      <w:drawing>
        <wp:anchor distT="0" distB="0" distL="114300" distR="114300" simplePos="0" relativeHeight="251658240" behindDoc="1" locked="0" layoutInCell="1" allowOverlap="1" wp14:anchorId="0861E4B9" wp14:editId="2E9039A4">
          <wp:simplePos x="0" y="0"/>
          <wp:positionH relativeFrom="page">
            <wp:align>right</wp:align>
          </wp:positionH>
          <wp:positionV relativeFrom="paragraph">
            <wp:posOffset>-467360</wp:posOffset>
          </wp:positionV>
          <wp:extent cx="7772397" cy="3856498"/>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7" cy="3856498"/>
                  </a:xfrm>
                  <a:prstGeom prst="rect">
                    <a:avLst/>
                  </a:prstGeom>
                </pic:spPr>
              </pic:pic>
            </a:graphicData>
          </a:graphic>
          <wp14:sizeRelH relativeFrom="page">
            <wp14:pctWidth>0</wp14:pctWidth>
          </wp14:sizeRelH>
          <wp14:sizeRelV relativeFrom="page">
            <wp14:pctHeight>0</wp14:pctHeight>
          </wp14:sizeRelV>
        </wp:anchor>
      </w:drawing>
    </w:r>
    <w:r w:rsidR="00D35AF9">
      <w:rPr>
        <w:noProof/>
      </w:rPr>
      <mc:AlternateContent>
        <mc:Choice Requires="wps">
          <w:drawing>
            <wp:anchor distT="45720" distB="45720" distL="114300" distR="114300" simplePos="0" relativeHeight="251664384" behindDoc="0" locked="0" layoutInCell="1" allowOverlap="1" wp14:anchorId="6E001766" wp14:editId="148EA78F">
              <wp:simplePos x="0" y="0"/>
              <wp:positionH relativeFrom="column">
                <wp:posOffset>4572000</wp:posOffset>
              </wp:positionH>
              <wp:positionV relativeFrom="page">
                <wp:posOffset>2550160</wp:posOffset>
              </wp:positionV>
              <wp:extent cx="2413000" cy="3295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29565"/>
                      </a:xfrm>
                      <a:prstGeom prst="rect">
                        <a:avLst/>
                      </a:prstGeom>
                      <a:noFill/>
                      <a:ln w="9525">
                        <a:noFill/>
                        <a:miter lim="800000"/>
                        <a:headEnd/>
                        <a:tailEnd/>
                      </a:ln>
                    </wps:spPr>
                    <wps:txbx>
                      <w:txbxContent>
                        <w:p w14:paraId="31509FB1" w14:textId="77777777" w:rsidR="00D35AF9" w:rsidRPr="00D35AF9" w:rsidRDefault="004D4D08" w:rsidP="00D35AF9">
                          <w:pPr>
                            <w:pStyle w:val="SubHeader"/>
                            <w:rPr>
                              <w:color w:val="FFFFFF" w:themeColor="background1"/>
                              <w:sz w:val="32"/>
                              <w:szCs w:val="32"/>
                            </w:rPr>
                          </w:pPr>
                          <w:r>
                            <w:rPr>
                              <w:color w:val="FFFFFF" w:themeColor="background1"/>
                              <w:sz w:val="32"/>
                              <w:szCs w:val="32"/>
                            </w:rPr>
                            <w:t>Important Dates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90pt;height:25.95pt;margin-top:200.8pt;margin-left:5in;mso-height-percent:0;mso-height-relative:margin;mso-position-vertical-relative:page;mso-width-percent:0;mso-width-relative:margin;mso-wrap-distance-bottom:3.6pt;mso-wrap-distance-left:9pt;mso-wrap-distance-right:9pt;mso-wrap-distance-top:3.6pt;mso-wrap-style:square;position:absolute;visibility:visible;v-text-anchor:top;z-index:251665408" filled="f" stroked="f">
              <v:textbox>
                <w:txbxContent>
                  <w:p w:rsidR="00D35AF9" w:rsidRPr="00D35AF9" w:rsidP="00D35AF9">
                    <w:pPr>
                      <w:pStyle w:val="SubHeader"/>
                      <w:rPr>
                        <w:color w:val="FFFFFF" w:themeColor="background1"/>
                        <w:sz w:val="32"/>
                        <w:szCs w:val="32"/>
                      </w:rPr>
                    </w:pPr>
                    <w:r>
                      <w:rPr>
                        <w:color w:val="FFFFFF" w:themeColor="background1"/>
                        <w:sz w:val="32"/>
                        <w:szCs w:val="32"/>
                      </w:rPr>
                      <w:t>Important Dates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063"/>
    <w:multiLevelType w:val="hybridMultilevel"/>
    <w:tmpl w:val="0CE2A7C2"/>
    <w:lvl w:ilvl="0" w:tplc="C088DB8A">
      <w:start w:val="1"/>
      <w:numFmt w:val="bullet"/>
      <w:pStyle w:val="BulletList"/>
      <w:lvlText w:val=""/>
      <w:lvlJc w:val="left"/>
      <w:pPr>
        <w:ind w:left="540" w:hanging="360"/>
      </w:pPr>
      <w:rPr>
        <w:rFonts w:ascii="Symbol" w:hAnsi="Symbol" w:hint="default"/>
        <w:color w:val="5083C9"/>
      </w:rPr>
    </w:lvl>
    <w:lvl w:ilvl="1" w:tplc="F68622A6">
      <w:start w:val="1"/>
      <w:numFmt w:val="bullet"/>
      <w:lvlText w:val="o"/>
      <w:lvlJc w:val="left"/>
      <w:pPr>
        <w:ind w:left="1440" w:hanging="360"/>
      </w:pPr>
      <w:rPr>
        <w:rFonts w:ascii="Courier New" w:hAnsi="Courier New" w:cs="Courier New" w:hint="default"/>
      </w:rPr>
    </w:lvl>
    <w:lvl w:ilvl="2" w:tplc="8EB668F0" w:tentative="1">
      <w:start w:val="1"/>
      <w:numFmt w:val="bullet"/>
      <w:lvlText w:val=""/>
      <w:lvlJc w:val="left"/>
      <w:pPr>
        <w:ind w:left="2160" w:hanging="360"/>
      </w:pPr>
      <w:rPr>
        <w:rFonts w:ascii="Wingdings" w:hAnsi="Wingdings" w:hint="default"/>
      </w:rPr>
    </w:lvl>
    <w:lvl w:ilvl="3" w:tplc="4404A3AE" w:tentative="1">
      <w:start w:val="1"/>
      <w:numFmt w:val="bullet"/>
      <w:lvlText w:val=""/>
      <w:lvlJc w:val="left"/>
      <w:pPr>
        <w:ind w:left="2880" w:hanging="360"/>
      </w:pPr>
      <w:rPr>
        <w:rFonts w:ascii="Symbol" w:hAnsi="Symbol" w:hint="default"/>
      </w:rPr>
    </w:lvl>
    <w:lvl w:ilvl="4" w:tplc="E2EAAC0E" w:tentative="1">
      <w:start w:val="1"/>
      <w:numFmt w:val="bullet"/>
      <w:lvlText w:val="o"/>
      <w:lvlJc w:val="left"/>
      <w:pPr>
        <w:ind w:left="3600" w:hanging="360"/>
      </w:pPr>
      <w:rPr>
        <w:rFonts w:ascii="Courier New" w:hAnsi="Courier New" w:cs="Courier New" w:hint="default"/>
      </w:rPr>
    </w:lvl>
    <w:lvl w:ilvl="5" w:tplc="22A460E6" w:tentative="1">
      <w:start w:val="1"/>
      <w:numFmt w:val="bullet"/>
      <w:lvlText w:val=""/>
      <w:lvlJc w:val="left"/>
      <w:pPr>
        <w:ind w:left="4320" w:hanging="360"/>
      </w:pPr>
      <w:rPr>
        <w:rFonts w:ascii="Wingdings" w:hAnsi="Wingdings" w:hint="default"/>
      </w:rPr>
    </w:lvl>
    <w:lvl w:ilvl="6" w:tplc="D6145024" w:tentative="1">
      <w:start w:val="1"/>
      <w:numFmt w:val="bullet"/>
      <w:lvlText w:val=""/>
      <w:lvlJc w:val="left"/>
      <w:pPr>
        <w:ind w:left="5040" w:hanging="360"/>
      </w:pPr>
      <w:rPr>
        <w:rFonts w:ascii="Symbol" w:hAnsi="Symbol" w:hint="default"/>
      </w:rPr>
    </w:lvl>
    <w:lvl w:ilvl="7" w:tplc="E87EA600" w:tentative="1">
      <w:start w:val="1"/>
      <w:numFmt w:val="bullet"/>
      <w:lvlText w:val="o"/>
      <w:lvlJc w:val="left"/>
      <w:pPr>
        <w:ind w:left="5760" w:hanging="360"/>
      </w:pPr>
      <w:rPr>
        <w:rFonts w:ascii="Courier New" w:hAnsi="Courier New" w:cs="Courier New" w:hint="default"/>
      </w:rPr>
    </w:lvl>
    <w:lvl w:ilvl="8" w:tplc="F15852BC" w:tentative="1">
      <w:start w:val="1"/>
      <w:numFmt w:val="bullet"/>
      <w:lvlText w:val=""/>
      <w:lvlJc w:val="left"/>
      <w:pPr>
        <w:ind w:left="6480" w:hanging="360"/>
      </w:pPr>
      <w:rPr>
        <w:rFonts w:ascii="Wingdings" w:hAnsi="Wingdings" w:hint="default"/>
      </w:rPr>
    </w:lvl>
  </w:abstractNum>
  <w:abstractNum w:abstractNumId="1" w15:restartNumberingAfterBreak="0">
    <w:nsid w:val="1A270686"/>
    <w:multiLevelType w:val="hybridMultilevel"/>
    <w:tmpl w:val="409AC006"/>
    <w:lvl w:ilvl="0" w:tplc="BDC60248">
      <w:start w:val="1"/>
      <w:numFmt w:val="bullet"/>
      <w:pStyle w:val="Checkbox"/>
      <w:lvlText w:val=""/>
      <w:lvlJc w:val="left"/>
      <w:pPr>
        <w:ind w:left="540" w:hanging="360"/>
      </w:pPr>
      <w:rPr>
        <w:rFonts w:ascii="Wingdings" w:hAnsi="Wingdings" w:hint="default"/>
        <w:color w:val="5083C9"/>
        <w:sz w:val="28"/>
      </w:rPr>
    </w:lvl>
    <w:lvl w:ilvl="1" w:tplc="F4027AEC">
      <w:start w:val="1"/>
      <w:numFmt w:val="bullet"/>
      <w:lvlText w:val="o"/>
      <w:lvlJc w:val="left"/>
      <w:pPr>
        <w:ind w:left="1440" w:hanging="360"/>
      </w:pPr>
      <w:rPr>
        <w:rFonts w:ascii="Courier New" w:hAnsi="Courier New" w:cs="Courier New" w:hint="default"/>
      </w:rPr>
    </w:lvl>
    <w:lvl w:ilvl="2" w:tplc="18C00268" w:tentative="1">
      <w:start w:val="1"/>
      <w:numFmt w:val="bullet"/>
      <w:lvlText w:val=""/>
      <w:lvlJc w:val="left"/>
      <w:pPr>
        <w:ind w:left="2160" w:hanging="360"/>
      </w:pPr>
      <w:rPr>
        <w:rFonts w:ascii="Wingdings" w:hAnsi="Wingdings" w:hint="default"/>
      </w:rPr>
    </w:lvl>
    <w:lvl w:ilvl="3" w:tplc="AEDCD1F6" w:tentative="1">
      <w:start w:val="1"/>
      <w:numFmt w:val="bullet"/>
      <w:lvlText w:val=""/>
      <w:lvlJc w:val="left"/>
      <w:pPr>
        <w:ind w:left="2880" w:hanging="360"/>
      </w:pPr>
      <w:rPr>
        <w:rFonts w:ascii="Symbol" w:hAnsi="Symbol" w:hint="default"/>
      </w:rPr>
    </w:lvl>
    <w:lvl w:ilvl="4" w:tplc="5094C274" w:tentative="1">
      <w:start w:val="1"/>
      <w:numFmt w:val="bullet"/>
      <w:lvlText w:val="o"/>
      <w:lvlJc w:val="left"/>
      <w:pPr>
        <w:ind w:left="3600" w:hanging="360"/>
      </w:pPr>
      <w:rPr>
        <w:rFonts w:ascii="Courier New" w:hAnsi="Courier New" w:cs="Courier New" w:hint="default"/>
      </w:rPr>
    </w:lvl>
    <w:lvl w:ilvl="5" w:tplc="54860ED4" w:tentative="1">
      <w:start w:val="1"/>
      <w:numFmt w:val="bullet"/>
      <w:lvlText w:val=""/>
      <w:lvlJc w:val="left"/>
      <w:pPr>
        <w:ind w:left="4320" w:hanging="360"/>
      </w:pPr>
      <w:rPr>
        <w:rFonts w:ascii="Wingdings" w:hAnsi="Wingdings" w:hint="default"/>
      </w:rPr>
    </w:lvl>
    <w:lvl w:ilvl="6" w:tplc="5A3626C4" w:tentative="1">
      <w:start w:val="1"/>
      <w:numFmt w:val="bullet"/>
      <w:lvlText w:val=""/>
      <w:lvlJc w:val="left"/>
      <w:pPr>
        <w:ind w:left="5040" w:hanging="360"/>
      </w:pPr>
      <w:rPr>
        <w:rFonts w:ascii="Symbol" w:hAnsi="Symbol" w:hint="default"/>
      </w:rPr>
    </w:lvl>
    <w:lvl w:ilvl="7" w:tplc="7270A228" w:tentative="1">
      <w:start w:val="1"/>
      <w:numFmt w:val="bullet"/>
      <w:lvlText w:val="o"/>
      <w:lvlJc w:val="left"/>
      <w:pPr>
        <w:ind w:left="5760" w:hanging="360"/>
      </w:pPr>
      <w:rPr>
        <w:rFonts w:ascii="Courier New" w:hAnsi="Courier New" w:cs="Courier New" w:hint="default"/>
      </w:rPr>
    </w:lvl>
    <w:lvl w:ilvl="8" w:tplc="43E65F40" w:tentative="1">
      <w:start w:val="1"/>
      <w:numFmt w:val="bullet"/>
      <w:lvlText w:val=""/>
      <w:lvlJc w:val="left"/>
      <w:pPr>
        <w:ind w:left="6480" w:hanging="360"/>
      </w:pPr>
      <w:rPr>
        <w:rFonts w:ascii="Wingdings" w:hAnsi="Wingdings" w:hint="default"/>
      </w:rPr>
    </w:lvl>
  </w:abstractNum>
  <w:abstractNum w:abstractNumId="2"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C8601A1"/>
    <w:multiLevelType w:val="hybridMultilevel"/>
    <w:tmpl w:val="43CE94D6"/>
    <w:lvl w:ilvl="0" w:tplc="22D01050">
      <w:start w:val="1"/>
      <w:numFmt w:val="bullet"/>
      <w:lvlText w:val=""/>
      <w:lvlJc w:val="left"/>
      <w:pPr>
        <w:ind w:left="720" w:hanging="360"/>
      </w:pPr>
      <w:rPr>
        <w:rFonts w:ascii="Symbol" w:hAnsi="Symbol" w:hint="default"/>
      </w:rPr>
    </w:lvl>
    <w:lvl w:ilvl="1" w:tplc="2FA052D4">
      <w:start w:val="1"/>
      <w:numFmt w:val="bullet"/>
      <w:lvlText w:val="o"/>
      <w:lvlJc w:val="left"/>
      <w:pPr>
        <w:ind w:left="1440" w:hanging="360"/>
      </w:pPr>
      <w:rPr>
        <w:rFonts w:ascii="Courier New" w:hAnsi="Courier New" w:hint="default"/>
      </w:rPr>
    </w:lvl>
    <w:lvl w:ilvl="2" w:tplc="11A42314" w:tentative="1">
      <w:start w:val="1"/>
      <w:numFmt w:val="bullet"/>
      <w:lvlText w:val=""/>
      <w:lvlJc w:val="left"/>
      <w:pPr>
        <w:ind w:left="2160" w:hanging="360"/>
      </w:pPr>
      <w:rPr>
        <w:rFonts w:ascii="Wingdings" w:hAnsi="Wingdings" w:hint="default"/>
      </w:rPr>
    </w:lvl>
    <w:lvl w:ilvl="3" w:tplc="1B8AFDAA" w:tentative="1">
      <w:start w:val="1"/>
      <w:numFmt w:val="bullet"/>
      <w:lvlText w:val=""/>
      <w:lvlJc w:val="left"/>
      <w:pPr>
        <w:ind w:left="2880" w:hanging="360"/>
      </w:pPr>
      <w:rPr>
        <w:rFonts w:ascii="Symbol" w:hAnsi="Symbol" w:hint="default"/>
      </w:rPr>
    </w:lvl>
    <w:lvl w:ilvl="4" w:tplc="F9086F26" w:tentative="1">
      <w:start w:val="1"/>
      <w:numFmt w:val="bullet"/>
      <w:lvlText w:val="o"/>
      <w:lvlJc w:val="left"/>
      <w:pPr>
        <w:ind w:left="3600" w:hanging="360"/>
      </w:pPr>
      <w:rPr>
        <w:rFonts w:ascii="Courier New" w:hAnsi="Courier New" w:cs="Courier New" w:hint="default"/>
      </w:rPr>
    </w:lvl>
    <w:lvl w:ilvl="5" w:tplc="856614EC" w:tentative="1">
      <w:start w:val="1"/>
      <w:numFmt w:val="bullet"/>
      <w:lvlText w:val=""/>
      <w:lvlJc w:val="left"/>
      <w:pPr>
        <w:ind w:left="4320" w:hanging="360"/>
      </w:pPr>
      <w:rPr>
        <w:rFonts w:ascii="Wingdings" w:hAnsi="Wingdings" w:hint="default"/>
      </w:rPr>
    </w:lvl>
    <w:lvl w:ilvl="6" w:tplc="0D945BA0" w:tentative="1">
      <w:start w:val="1"/>
      <w:numFmt w:val="bullet"/>
      <w:lvlText w:val=""/>
      <w:lvlJc w:val="left"/>
      <w:pPr>
        <w:ind w:left="5040" w:hanging="360"/>
      </w:pPr>
      <w:rPr>
        <w:rFonts w:ascii="Symbol" w:hAnsi="Symbol" w:hint="default"/>
      </w:rPr>
    </w:lvl>
    <w:lvl w:ilvl="7" w:tplc="7ED88B62" w:tentative="1">
      <w:start w:val="1"/>
      <w:numFmt w:val="bullet"/>
      <w:lvlText w:val="o"/>
      <w:lvlJc w:val="left"/>
      <w:pPr>
        <w:ind w:left="5760" w:hanging="360"/>
      </w:pPr>
      <w:rPr>
        <w:rFonts w:ascii="Courier New" w:hAnsi="Courier New" w:cs="Courier New" w:hint="default"/>
      </w:rPr>
    </w:lvl>
    <w:lvl w:ilvl="8" w:tplc="C36E02E6" w:tentative="1">
      <w:start w:val="1"/>
      <w:numFmt w:val="bullet"/>
      <w:lvlText w:val=""/>
      <w:lvlJc w:val="left"/>
      <w:pPr>
        <w:ind w:left="6480" w:hanging="360"/>
      </w:pPr>
      <w:rPr>
        <w:rFonts w:ascii="Wingdings" w:hAnsi="Wingdings" w:hint="default"/>
      </w:rPr>
    </w:lvl>
  </w:abstractNum>
  <w:abstractNum w:abstractNumId="4" w15:restartNumberingAfterBreak="0">
    <w:nsid w:val="4E624744"/>
    <w:multiLevelType w:val="hybridMultilevel"/>
    <w:tmpl w:val="D67CDEAC"/>
    <w:lvl w:ilvl="0" w:tplc="DFCAFB7C">
      <w:start w:val="1"/>
      <w:numFmt w:val="bullet"/>
      <w:pStyle w:val="Xbox"/>
      <w:lvlText w:val=""/>
      <w:lvlJc w:val="left"/>
      <w:pPr>
        <w:ind w:left="540" w:hanging="360"/>
      </w:pPr>
      <w:rPr>
        <w:rFonts w:ascii="Wingdings" w:hAnsi="Wingdings" w:hint="default"/>
        <w:color w:val="BD6363"/>
        <w:sz w:val="28"/>
      </w:rPr>
    </w:lvl>
    <w:lvl w:ilvl="1" w:tplc="6E5C34BA">
      <w:start w:val="1"/>
      <w:numFmt w:val="bullet"/>
      <w:lvlText w:val="o"/>
      <w:lvlJc w:val="left"/>
      <w:pPr>
        <w:ind w:left="1440" w:hanging="360"/>
      </w:pPr>
      <w:rPr>
        <w:rFonts w:ascii="Courier New" w:hAnsi="Courier New" w:cs="Courier New" w:hint="default"/>
      </w:rPr>
    </w:lvl>
    <w:lvl w:ilvl="2" w:tplc="0DB2CA94" w:tentative="1">
      <w:start w:val="1"/>
      <w:numFmt w:val="bullet"/>
      <w:lvlText w:val=""/>
      <w:lvlJc w:val="left"/>
      <w:pPr>
        <w:ind w:left="2160" w:hanging="360"/>
      </w:pPr>
      <w:rPr>
        <w:rFonts w:ascii="Wingdings" w:hAnsi="Wingdings" w:hint="default"/>
      </w:rPr>
    </w:lvl>
    <w:lvl w:ilvl="3" w:tplc="22989984" w:tentative="1">
      <w:start w:val="1"/>
      <w:numFmt w:val="bullet"/>
      <w:lvlText w:val=""/>
      <w:lvlJc w:val="left"/>
      <w:pPr>
        <w:ind w:left="2880" w:hanging="360"/>
      </w:pPr>
      <w:rPr>
        <w:rFonts w:ascii="Symbol" w:hAnsi="Symbol" w:hint="default"/>
      </w:rPr>
    </w:lvl>
    <w:lvl w:ilvl="4" w:tplc="FF3E75C4" w:tentative="1">
      <w:start w:val="1"/>
      <w:numFmt w:val="bullet"/>
      <w:lvlText w:val="o"/>
      <w:lvlJc w:val="left"/>
      <w:pPr>
        <w:ind w:left="3600" w:hanging="360"/>
      </w:pPr>
      <w:rPr>
        <w:rFonts w:ascii="Courier New" w:hAnsi="Courier New" w:cs="Courier New" w:hint="default"/>
      </w:rPr>
    </w:lvl>
    <w:lvl w:ilvl="5" w:tplc="67628472" w:tentative="1">
      <w:start w:val="1"/>
      <w:numFmt w:val="bullet"/>
      <w:lvlText w:val=""/>
      <w:lvlJc w:val="left"/>
      <w:pPr>
        <w:ind w:left="4320" w:hanging="360"/>
      </w:pPr>
      <w:rPr>
        <w:rFonts w:ascii="Wingdings" w:hAnsi="Wingdings" w:hint="default"/>
      </w:rPr>
    </w:lvl>
    <w:lvl w:ilvl="6" w:tplc="6B340570" w:tentative="1">
      <w:start w:val="1"/>
      <w:numFmt w:val="bullet"/>
      <w:lvlText w:val=""/>
      <w:lvlJc w:val="left"/>
      <w:pPr>
        <w:ind w:left="5040" w:hanging="360"/>
      </w:pPr>
      <w:rPr>
        <w:rFonts w:ascii="Symbol" w:hAnsi="Symbol" w:hint="default"/>
      </w:rPr>
    </w:lvl>
    <w:lvl w:ilvl="7" w:tplc="E3525EAC" w:tentative="1">
      <w:start w:val="1"/>
      <w:numFmt w:val="bullet"/>
      <w:lvlText w:val="o"/>
      <w:lvlJc w:val="left"/>
      <w:pPr>
        <w:ind w:left="5760" w:hanging="360"/>
      </w:pPr>
      <w:rPr>
        <w:rFonts w:ascii="Courier New" w:hAnsi="Courier New" w:cs="Courier New" w:hint="default"/>
      </w:rPr>
    </w:lvl>
    <w:lvl w:ilvl="8" w:tplc="858A806E" w:tentative="1">
      <w:start w:val="1"/>
      <w:numFmt w:val="bullet"/>
      <w:lvlText w:val=""/>
      <w:lvlJc w:val="left"/>
      <w:pPr>
        <w:ind w:left="6480" w:hanging="360"/>
      </w:pPr>
      <w:rPr>
        <w:rFonts w:ascii="Wingdings" w:hAnsi="Wingdings" w:hint="default"/>
      </w:rPr>
    </w:lvl>
  </w:abstractNum>
  <w:abstractNum w:abstractNumId="5" w15:restartNumberingAfterBreak="0">
    <w:nsid w:val="4F0E1D8C"/>
    <w:multiLevelType w:val="hybridMultilevel"/>
    <w:tmpl w:val="796CB146"/>
    <w:lvl w:ilvl="0" w:tplc="E2349D9A">
      <w:start w:val="1"/>
      <w:numFmt w:val="bullet"/>
      <w:pStyle w:val="Bullet"/>
      <w:lvlText w:val=""/>
      <w:lvlJc w:val="left"/>
      <w:pPr>
        <w:ind w:left="720" w:hanging="360"/>
      </w:pPr>
      <w:rPr>
        <w:rFonts w:ascii="Symbol" w:hAnsi="Symbol" w:hint="default"/>
        <w:color w:val="5083C9"/>
      </w:rPr>
    </w:lvl>
    <w:lvl w:ilvl="1" w:tplc="B92696FE">
      <w:start w:val="1"/>
      <w:numFmt w:val="bullet"/>
      <w:lvlText w:val="o"/>
      <w:lvlJc w:val="left"/>
      <w:pPr>
        <w:ind w:left="1440" w:hanging="360"/>
      </w:pPr>
      <w:rPr>
        <w:rFonts w:ascii="Courier New" w:hAnsi="Courier New" w:cs="Courier New" w:hint="default"/>
      </w:rPr>
    </w:lvl>
    <w:lvl w:ilvl="2" w:tplc="0454740A">
      <w:start w:val="1"/>
      <w:numFmt w:val="bullet"/>
      <w:lvlText w:val=""/>
      <w:lvlJc w:val="left"/>
      <w:pPr>
        <w:ind w:left="2160" w:hanging="360"/>
      </w:pPr>
      <w:rPr>
        <w:rFonts w:ascii="Wingdings" w:hAnsi="Wingdings" w:hint="default"/>
      </w:rPr>
    </w:lvl>
    <w:lvl w:ilvl="3" w:tplc="3670BB92" w:tentative="1">
      <w:start w:val="1"/>
      <w:numFmt w:val="bullet"/>
      <w:lvlText w:val=""/>
      <w:lvlJc w:val="left"/>
      <w:pPr>
        <w:ind w:left="2880" w:hanging="360"/>
      </w:pPr>
      <w:rPr>
        <w:rFonts w:ascii="Symbol" w:hAnsi="Symbol" w:hint="default"/>
      </w:rPr>
    </w:lvl>
    <w:lvl w:ilvl="4" w:tplc="475608C2" w:tentative="1">
      <w:start w:val="1"/>
      <w:numFmt w:val="bullet"/>
      <w:lvlText w:val="o"/>
      <w:lvlJc w:val="left"/>
      <w:pPr>
        <w:ind w:left="3600" w:hanging="360"/>
      </w:pPr>
      <w:rPr>
        <w:rFonts w:ascii="Courier New" w:hAnsi="Courier New" w:cs="Courier New" w:hint="default"/>
      </w:rPr>
    </w:lvl>
    <w:lvl w:ilvl="5" w:tplc="692C3DEC" w:tentative="1">
      <w:start w:val="1"/>
      <w:numFmt w:val="bullet"/>
      <w:lvlText w:val=""/>
      <w:lvlJc w:val="left"/>
      <w:pPr>
        <w:ind w:left="4320" w:hanging="360"/>
      </w:pPr>
      <w:rPr>
        <w:rFonts w:ascii="Wingdings" w:hAnsi="Wingdings" w:hint="default"/>
      </w:rPr>
    </w:lvl>
    <w:lvl w:ilvl="6" w:tplc="0546CB6C" w:tentative="1">
      <w:start w:val="1"/>
      <w:numFmt w:val="bullet"/>
      <w:lvlText w:val=""/>
      <w:lvlJc w:val="left"/>
      <w:pPr>
        <w:ind w:left="5040" w:hanging="360"/>
      </w:pPr>
      <w:rPr>
        <w:rFonts w:ascii="Symbol" w:hAnsi="Symbol" w:hint="default"/>
      </w:rPr>
    </w:lvl>
    <w:lvl w:ilvl="7" w:tplc="94AE7906" w:tentative="1">
      <w:start w:val="1"/>
      <w:numFmt w:val="bullet"/>
      <w:lvlText w:val="o"/>
      <w:lvlJc w:val="left"/>
      <w:pPr>
        <w:ind w:left="5760" w:hanging="360"/>
      </w:pPr>
      <w:rPr>
        <w:rFonts w:ascii="Courier New" w:hAnsi="Courier New" w:cs="Courier New" w:hint="default"/>
      </w:rPr>
    </w:lvl>
    <w:lvl w:ilvl="8" w:tplc="650E3E02" w:tentative="1">
      <w:start w:val="1"/>
      <w:numFmt w:val="bullet"/>
      <w:lvlText w:val=""/>
      <w:lvlJc w:val="left"/>
      <w:pPr>
        <w:ind w:left="6480" w:hanging="360"/>
      </w:pPr>
      <w:rPr>
        <w:rFonts w:ascii="Wingdings" w:hAnsi="Wingdings" w:hint="default"/>
      </w:rPr>
    </w:lvl>
  </w:abstractNum>
  <w:abstractNum w:abstractNumId="6" w15:restartNumberingAfterBreak="0">
    <w:nsid w:val="79493AD4"/>
    <w:multiLevelType w:val="multilevel"/>
    <w:tmpl w:val="B13CDD56"/>
    <w:numStyleLink w:val="BulletedList"/>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zSwNDE3NDM3NjBW0lEKTi0uzszPAykwqgUAoTHwcywAAAA="/>
  </w:docVars>
  <w:rsids>
    <w:rsidRoot w:val="009D7B8E"/>
    <w:rsid w:val="00001C17"/>
    <w:rsid w:val="00025978"/>
    <w:rsid w:val="001050A8"/>
    <w:rsid w:val="0012162D"/>
    <w:rsid w:val="001631A4"/>
    <w:rsid w:val="001725D9"/>
    <w:rsid w:val="001B1A7E"/>
    <w:rsid w:val="002066AD"/>
    <w:rsid w:val="0022430C"/>
    <w:rsid w:val="0024208C"/>
    <w:rsid w:val="0026000D"/>
    <w:rsid w:val="002B61D1"/>
    <w:rsid w:val="002D5AA9"/>
    <w:rsid w:val="002F786C"/>
    <w:rsid w:val="003267EB"/>
    <w:rsid w:val="003A6B72"/>
    <w:rsid w:val="003D0BAB"/>
    <w:rsid w:val="00432EFE"/>
    <w:rsid w:val="0048508B"/>
    <w:rsid w:val="00485C3A"/>
    <w:rsid w:val="004967FA"/>
    <w:rsid w:val="004B125C"/>
    <w:rsid w:val="004B35EC"/>
    <w:rsid w:val="004D34B3"/>
    <w:rsid w:val="004D4D08"/>
    <w:rsid w:val="00543819"/>
    <w:rsid w:val="00582214"/>
    <w:rsid w:val="00584B55"/>
    <w:rsid w:val="005D05D9"/>
    <w:rsid w:val="005E107E"/>
    <w:rsid w:val="00673115"/>
    <w:rsid w:val="006A2A41"/>
    <w:rsid w:val="006B1F88"/>
    <w:rsid w:val="006D795A"/>
    <w:rsid w:val="00707343"/>
    <w:rsid w:val="00770406"/>
    <w:rsid w:val="00796AD3"/>
    <w:rsid w:val="007D5A6C"/>
    <w:rsid w:val="007F3C83"/>
    <w:rsid w:val="00802FF0"/>
    <w:rsid w:val="00804A09"/>
    <w:rsid w:val="00817EEE"/>
    <w:rsid w:val="0083471B"/>
    <w:rsid w:val="00855DD7"/>
    <w:rsid w:val="00856044"/>
    <w:rsid w:val="00871E9E"/>
    <w:rsid w:val="008864AB"/>
    <w:rsid w:val="00890A44"/>
    <w:rsid w:val="008A7E71"/>
    <w:rsid w:val="008E091E"/>
    <w:rsid w:val="008F7B15"/>
    <w:rsid w:val="00926535"/>
    <w:rsid w:val="009440BA"/>
    <w:rsid w:val="00947E11"/>
    <w:rsid w:val="009603B8"/>
    <w:rsid w:val="0098636D"/>
    <w:rsid w:val="00993033"/>
    <w:rsid w:val="009B56DA"/>
    <w:rsid w:val="009D46EF"/>
    <w:rsid w:val="009D4BB6"/>
    <w:rsid w:val="009D7B8E"/>
    <w:rsid w:val="009E2B6A"/>
    <w:rsid w:val="009E4DC9"/>
    <w:rsid w:val="00A337BD"/>
    <w:rsid w:val="00A47C53"/>
    <w:rsid w:val="00A5401B"/>
    <w:rsid w:val="00A65FD8"/>
    <w:rsid w:val="00AB3085"/>
    <w:rsid w:val="00AD0649"/>
    <w:rsid w:val="00BA7D47"/>
    <w:rsid w:val="00BD1746"/>
    <w:rsid w:val="00BE45C1"/>
    <w:rsid w:val="00C174AE"/>
    <w:rsid w:val="00C741AE"/>
    <w:rsid w:val="00CA6AD1"/>
    <w:rsid w:val="00CE0EFA"/>
    <w:rsid w:val="00CF5E21"/>
    <w:rsid w:val="00D106C8"/>
    <w:rsid w:val="00D2167C"/>
    <w:rsid w:val="00D35AF9"/>
    <w:rsid w:val="00D379D5"/>
    <w:rsid w:val="00D76FCB"/>
    <w:rsid w:val="00D96AB3"/>
    <w:rsid w:val="00DC3880"/>
    <w:rsid w:val="00DD1268"/>
    <w:rsid w:val="00E16E6C"/>
    <w:rsid w:val="00E26E72"/>
    <w:rsid w:val="00E378E3"/>
    <w:rsid w:val="00E64D05"/>
    <w:rsid w:val="00E73236"/>
    <w:rsid w:val="00EC2053"/>
    <w:rsid w:val="00F32D2D"/>
    <w:rsid w:val="00F32F5A"/>
    <w:rsid w:val="00F51461"/>
    <w:rsid w:val="00F82D2F"/>
    <w:rsid w:val="00FA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DBB0"/>
  <w15:chartTrackingRefBased/>
  <w15:docId w15:val="{E8AC3AF0-BB0F-4934-8C3F-5D76C21F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2B61D1"/>
    <w:pPr>
      <w:spacing w:after="0" w:line="216" w:lineRule="auto"/>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2B61D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character" w:customStyle="1" w:styleId="CallOutBoxChar">
    <w:name w:val="Call Out Box Char"/>
    <w:basedOn w:val="FooterChar"/>
    <w:link w:val="CallOutBox"/>
    <w:rsid w:val="00CF5E21"/>
    <w:rPr>
      <w:b/>
      <w:i/>
      <w:color w:val="5083C9"/>
      <w:sz w:val="36"/>
      <w:szCs w:val="36"/>
    </w:rPr>
  </w:style>
  <w:style w:type="numbering" w:customStyle="1" w:styleId="BulletedList">
    <w:name w:val="Bulleted List"/>
    <w:uiPriority w:val="99"/>
    <w:rsid w:val="00DD1268"/>
    <w:pPr>
      <w:numPr>
        <w:numId w:val="5"/>
      </w:numPr>
    </w:pPr>
  </w:style>
  <w:style w:type="paragraph" w:customStyle="1" w:styleId="Bullet">
    <w:name w:val="Bullet"/>
    <w:basedOn w:val="BodyText"/>
    <w:link w:val="BulletChar"/>
    <w:qFormat/>
    <w:rsid w:val="00FA6666"/>
    <w:pPr>
      <w:numPr>
        <w:numId w:val="7"/>
      </w:numPr>
      <w:spacing w:after="0"/>
    </w:pPr>
  </w:style>
  <w:style w:type="character" w:customStyle="1" w:styleId="BulletChar">
    <w:name w:val="Bullet Char"/>
    <w:basedOn w:val="BodyTextChar"/>
    <w:link w:val="Bullet"/>
    <w:rsid w:val="00FA6666"/>
    <w:rPr>
      <w:rFonts w:ascii="Calibri" w:eastAsia="Times New Roman" w:hAnsi="Calibri" w:cs="Arial"/>
      <w:color w:val="595959"/>
      <w:szCs w:val="20"/>
    </w:rPr>
  </w:style>
  <w:style w:type="character" w:styleId="Hyperlink">
    <w:name w:val="Hyperlink"/>
    <w:basedOn w:val="DefaultParagraphFont"/>
    <w:uiPriority w:val="99"/>
    <w:unhideWhenUsed/>
    <w:rsid w:val="008E091E"/>
    <w:rPr>
      <w:color w:val="0563C1" w:themeColor="hyperlink"/>
      <w:u w:val="single"/>
    </w:rPr>
  </w:style>
  <w:style w:type="character" w:customStyle="1" w:styleId="UnresolvedMention1">
    <w:name w:val="Unresolved Mention1"/>
    <w:basedOn w:val="DefaultParagraphFont"/>
    <w:uiPriority w:val="99"/>
    <w:rsid w:val="008E091E"/>
    <w:rPr>
      <w:color w:val="605E5C"/>
      <w:shd w:val="clear" w:color="auto" w:fill="E1DFDD"/>
    </w:rPr>
  </w:style>
  <w:style w:type="paragraph" w:styleId="BalloonText">
    <w:name w:val="Balloon Text"/>
    <w:basedOn w:val="Normal"/>
    <w:link w:val="BalloonTextChar"/>
    <w:uiPriority w:val="99"/>
    <w:semiHidden/>
    <w:unhideWhenUsed/>
    <w:rsid w:val="00A54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01B"/>
    <w:rPr>
      <w:rFonts w:ascii="Segoe UI" w:hAnsi="Segoe UI" w:cs="Segoe UI"/>
      <w:sz w:val="18"/>
      <w:szCs w:val="18"/>
    </w:rPr>
  </w:style>
  <w:style w:type="character" w:styleId="FollowedHyperlink">
    <w:name w:val="FollowedHyperlink"/>
    <w:basedOn w:val="DefaultParagraphFont"/>
    <w:uiPriority w:val="99"/>
    <w:semiHidden/>
    <w:unhideWhenUsed/>
    <w:rsid w:val="00D96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ederalregister.gov/documents/2020/11/06/2020-24332/additional-policy-and-regulatory-revisions-in-response-to-the-covid-19-public-health-emergency"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Legal%20Update\EB_%20Legal%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EB_ Legal Update</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Rollefson, Becca</dc:creator>
  <cp:lastModifiedBy>Sarah Gillespie</cp:lastModifiedBy>
  <cp:revision>2</cp:revision>
  <dcterms:created xsi:type="dcterms:W3CDTF">2021-01-07T18:34:00Z</dcterms:created>
  <dcterms:modified xsi:type="dcterms:W3CDTF">2021-01-07T18:34:00Z</dcterms:modified>
</cp:coreProperties>
</file>