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82B3D" w14:textId="77777777" w:rsidR="0026000D" w:rsidRPr="008A7E71" w:rsidRDefault="008B5C57" w:rsidP="0002152B">
      <w:pPr>
        <w:pStyle w:val="MainTitle"/>
        <w:tabs>
          <w:tab w:val="left" w:pos="5652"/>
        </w:tabs>
        <w:spacing w:line="216" w:lineRule="auto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7D3CC92F" wp14:editId="1FFF039E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effectExtent l="0" t="0" r="0" b="0"/>
            <wp:wrapNone/>
            <wp:docPr id="100031" name="Picture 100031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30628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945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3A7B79" wp14:editId="7F9F97D6">
                <wp:simplePos x="0" y="0"/>
                <wp:positionH relativeFrom="column">
                  <wp:posOffset>-449580</wp:posOffset>
                </wp:positionH>
                <wp:positionV relativeFrom="paragraph">
                  <wp:posOffset>-6350</wp:posOffset>
                </wp:positionV>
                <wp:extent cx="7772400" cy="308419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86" cy="3084195"/>
                          <a:chOff x="7" y="0"/>
                          <a:chExt cx="7772386" cy="30841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7" y="0"/>
                            <a:ext cx="7772386" cy="637606"/>
                            <a:chOff x="7" y="0"/>
                            <a:chExt cx="7772386" cy="63760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" y="2473"/>
                              <a:ext cx="7772386" cy="63513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7E454E" w14:textId="77777777" w:rsidR="008864AB" w:rsidRPr="008864AB" w:rsidRDefault="00EA1945" w:rsidP="008864AB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Important Dates</w:t>
                                </w:r>
                              </w:p>
                            </w:txbxContent>
                          </wps:txbx>
                          <wps:bodyPr rot="0" vert="horz" wrap="square" anchor="ctr" anchorCtr="0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8280" y="373380"/>
                            <a:ext cx="230124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0330E" w14:textId="77777777" w:rsidR="0024208C" w:rsidRPr="0024208C" w:rsidRDefault="00EA1945" w:rsidP="0024208C">
                              <w:pPr>
                                <w:pStyle w:val="SubHeader"/>
                              </w:pPr>
                              <w:r>
                                <w:t>Dec. 2</w:t>
                              </w:r>
                              <w:r w:rsidR="008B5C57">
                                <w:t>7</w:t>
                              </w:r>
                              <w:r>
                                <w:t>, 2020</w:t>
                              </w:r>
                            </w:p>
                            <w:p w14:paraId="3F933F08" w14:textId="77777777" w:rsidR="0024208C" w:rsidRPr="00D2167C" w:rsidRDefault="00EA1945" w:rsidP="0024208C">
                              <w:pPr>
                                <w:pStyle w:val="BodyText"/>
                              </w:pPr>
                              <w:r>
                                <w:t>T</w:t>
                              </w:r>
                              <w:r w:rsidRPr="008B5C57">
                                <w:t>he Consolidated Appropriations Act, 2021</w:t>
                              </w:r>
                              <w:r>
                                <w:t xml:space="preserve"> was signed</w:t>
                              </w:r>
                              <w:r w:rsidRPr="008B5C57">
                                <w:t xml:space="preserve"> into law</w:t>
                              </w:r>
                              <w:r>
                                <w:t xml:space="preserve">. </w:t>
                              </w:r>
                            </w:p>
                            <w:p w14:paraId="0EE5F06D" w14:textId="77777777" w:rsidR="0024208C" w:rsidRDefault="00EA1945" w:rsidP="0024208C">
                              <w:pPr>
                                <w:pStyle w:val="SubHeader"/>
                              </w:pPr>
                              <w:r>
                                <w:t>July 1, 2021</w:t>
                              </w:r>
                            </w:p>
                            <w:p w14:paraId="264539E6" w14:textId="77777777" w:rsidR="0024208C" w:rsidRPr="00D2167C" w:rsidRDefault="00EA1945" w:rsidP="0024208C">
                              <w:pPr>
                                <w:pStyle w:val="BodyText"/>
                              </w:pPr>
                              <w:r>
                                <w:t>Implementing regulations</w:t>
                              </w:r>
                              <w:r w:rsidR="008E6162">
                                <w:t xml:space="preserve"> </w:t>
                              </w:r>
                              <w:r>
                                <w:t>required to be issued</w:t>
                              </w:r>
                              <w:r w:rsidR="00420B69">
                                <w:t>.</w:t>
                              </w:r>
                            </w:p>
                            <w:p w14:paraId="48CAFE27" w14:textId="77777777" w:rsidR="0024208C" w:rsidRDefault="00EA1945" w:rsidP="0024208C">
                              <w:pPr>
                                <w:pStyle w:val="SubHeader"/>
                              </w:pPr>
                              <w:r>
                                <w:t>Jan. 1, 2022</w:t>
                              </w:r>
                            </w:p>
                            <w:p w14:paraId="2E84F097" w14:textId="77777777" w:rsidR="0024208C" w:rsidRDefault="00EA1945" w:rsidP="004D34B3">
                              <w:pPr>
                                <w:pStyle w:val="BodyText"/>
                              </w:pPr>
                              <w:r>
                                <w:t xml:space="preserve">The provisions of the No Surprises Act apply to plan or policy years beginning on or after Jan. 1, 2022. 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5" style="width:612pt;height:242.85pt;margin-top:-0.5pt;margin-left:-35.4pt;mso-height-relative:margin;position:absolute;z-index:-251656192" coordsize="77723,30841">
                <v:group id="Group 15" o:spid="_x0000_s1026" style="width:77723;height:6376;position:absolute" coordsize="77723,637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width:77723;height:6352;mso-wrap-style:square;position:absolute;top:24;visibility:visible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width:22936;height:3428;left:53187;mso-wrap-style:square;position:absolute;visibility:visible;v-text-anchor:middle" filled="f" stroked="f">
                    <v:textbox>
                      <w:txbxContent>
                        <w:p w:rsidR="008864AB" w:rsidRPr="008864AB" w:rsidP="008864AB" w14:paraId="516E32EC" w14:textId="77777777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Important Dates</w:t>
                          </w:r>
                        </w:p>
                      </w:txbxContent>
                    </v:textbox>
                  </v:shape>
                </v:group>
                <v:shape id="_x0000_s1029" type="#_x0000_t202" style="width:23013;height:27108;left:52882;mso-wrap-style:square;position:absolute;top:3733;visibility:visible;v-text-anchor:top" filled="f" stroked="f">
                  <v:textbox>
                    <w:txbxContent>
                      <w:p w:rsidR="0024208C" w:rsidRPr="0024208C" w:rsidP="0024208C" w14:paraId="3D14CC81" w14:textId="025B625B">
                        <w:pPr>
                          <w:pStyle w:val="SubHeader"/>
                        </w:pPr>
                        <w:r>
                          <w:t>Dec. 2</w:t>
                        </w:r>
                        <w:r w:rsidR="008B5C57">
                          <w:t>7</w:t>
                        </w:r>
                        <w:r>
                          <w:t>, 2020</w:t>
                        </w:r>
                      </w:p>
                      <w:p w:rsidR="0024208C" w:rsidRPr="00D2167C" w:rsidP="0024208C" w14:paraId="61F64C33" w14:textId="34F76576">
                        <w:pPr>
                          <w:pStyle w:val="BodyText"/>
                        </w:pPr>
                        <w:r>
                          <w:t>T</w:t>
                        </w:r>
                        <w:r w:rsidRPr="008B5C57">
                          <w:t>he Consolidated Appropriations Act, 2021</w:t>
                        </w:r>
                        <w:r>
                          <w:t xml:space="preserve"> was signed</w:t>
                        </w:r>
                        <w:r w:rsidRPr="008B5C57">
                          <w:t xml:space="preserve"> into law</w:t>
                        </w:r>
                        <w:r>
                          <w:t xml:space="preserve">. </w:t>
                        </w:r>
                      </w:p>
                      <w:p w:rsidR="0024208C" w:rsidP="0024208C" w14:paraId="40D62A7A" w14:textId="77777777">
                        <w:pPr>
                          <w:pStyle w:val="SubHeader"/>
                        </w:pPr>
                        <w:r>
                          <w:t>July 1, 2021</w:t>
                        </w:r>
                      </w:p>
                      <w:p w:rsidR="0024208C" w:rsidRPr="00D2167C" w:rsidP="0024208C" w14:paraId="73285E03" w14:textId="26977E1F">
                        <w:pPr>
                          <w:pStyle w:val="BodyText"/>
                        </w:pPr>
                        <w:r>
                          <w:t>Implementing regulations</w:t>
                        </w:r>
                        <w:r w:rsidR="008E6162">
                          <w:t xml:space="preserve"> </w:t>
                        </w:r>
                        <w:r>
                          <w:t>required to be issued</w:t>
                        </w:r>
                        <w:r w:rsidR="00420B69">
                          <w:t>.</w:t>
                        </w:r>
                      </w:p>
                      <w:p w:rsidR="0024208C" w:rsidP="0024208C" w14:paraId="6EAB952B" w14:textId="77777777">
                        <w:pPr>
                          <w:pStyle w:val="SubHeader"/>
                        </w:pPr>
                        <w:r>
                          <w:t>Jan. 1, 2022</w:t>
                        </w:r>
                      </w:p>
                      <w:p w:rsidR="0024208C" w:rsidP="004D34B3" w14:paraId="47868B08" w14:textId="1CCE22A3">
                        <w:pPr>
                          <w:pStyle w:val="BodyText"/>
                        </w:pPr>
                        <w:r>
                          <w:t xml:space="preserve">The provisions of the No Surprises Act apply to plan or policy years beginning on or after Jan. 1, 2022.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t xml:space="preserve">Stimulus Bill Includes Ban on </w:t>
      </w:r>
      <w:r w:rsidR="00E43CC9">
        <w:rPr>
          <w:noProof/>
        </w:rPr>
        <w:t>Surprise Medical Bill</w:t>
      </w:r>
      <w:r>
        <w:rPr>
          <w:noProof/>
        </w:rPr>
        <w:t>s</w:t>
      </w:r>
      <w:r w:rsidR="00154D6B">
        <w:rPr>
          <w:noProof/>
        </w:rPr>
        <w:t xml:space="preserve"> </w:t>
      </w:r>
    </w:p>
    <w:p w14:paraId="17AF80FB" w14:textId="77777777" w:rsidR="00605F1F" w:rsidRDefault="00EA1945" w:rsidP="008A7E71">
      <w:pPr>
        <w:pStyle w:val="BodyText"/>
      </w:pPr>
      <w:r>
        <w:t>On Dec. 2</w:t>
      </w:r>
      <w:r w:rsidR="008B5C57">
        <w:t>7</w:t>
      </w:r>
      <w:r>
        <w:t xml:space="preserve">, 2020, </w:t>
      </w:r>
      <w:r w:rsidR="008B5C57">
        <w:t xml:space="preserve">President Trump signed </w:t>
      </w:r>
      <w:bookmarkStart w:id="0" w:name="_Hlk60033389"/>
      <w:r w:rsidR="008B5C57">
        <w:t>the</w:t>
      </w:r>
      <w:r>
        <w:t xml:space="preserve"> </w:t>
      </w:r>
      <w:hyperlink r:id="rId10" w:history="1">
        <w:r w:rsidR="003B36D3">
          <w:rPr>
            <w:rStyle w:val="Hyperlink"/>
          </w:rPr>
          <w:t>Consolidated Appropriations Act, 2021</w:t>
        </w:r>
      </w:hyperlink>
      <w:r w:rsidR="008B5C57">
        <w:t xml:space="preserve"> into law</w:t>
      </w:r>
      <w:bookmarkEnd w:id="0"/>
      <w:r w:rsidR="008B5C57">
        <w:t xml:space="preserve">. The Act includes a </w:t>
      </w:r>
      <w:r>
        <w:t xml:space="preserve">$900 billion </w:t>
      </w:r>
      <w:r w:rsidR="008B5C57">
        <w:t xml:space="preserve">coronavirus relief package that provides </w:t>
      </w:r>
      <w:r w:rsidR="008B5C57" w:rsidRPr="00F978E7">
        <w:t>funding for unemployment benefits, direct economic payments to individuals, vaccine distribution and rental assistance</w:t>
      </w:r>
      <w:r w:rsidRPr="00154D6B">
        <w:t xml:space="preserve">. </w:t>
      </w:r>
      <w:r w:rsidR="00251A1F">
        <w:t>It also</w:t>
      </w:r>
      <w:r>
        <w:t xml:space="preserve"> includes the No Surprises Act, </w:t>
      </w:r>
      <w:r w:rsidR="00E43CC9">
        <w:t>a</w:t>
      </w:r>
      <w:r>
        <w:t xml:space="preserve"> </w:t>
      </w:r>
      <w:r w:rsidR="00E43CC9">
        <w:t xml:space="preserve">ban on </w:t>
      </w:r>
      <w:r>
        <w:t>surprise medical bills</w:t>
      </w:r>
      <w:r w:rsidR="001A6CBD">
        <w:t>,</w:t>
      </w:r>
      <w:r>
        <w:t xml:space="preserve"> </w:t>
      </w:r>
      <w:r w:rsidR="001A6CBD">
        <w:t xml:space="preserve">which </w:t>
      </w:r>
      <w:r>
        <w:t>take</w:t>
      </w:r>
      <w:r w:rsidR="008B5C57">
        <w:t xml:space="preserve">s </w:t>
      </w:r>
      <w:r>
        <w:t xml:space="preserve">effect </w:t>
      </w:r>
      <w:r w:rsidR="001A6CBD">
        <w:t>beginn</w:t>
      </w:r>
      <w:r>
        <w:t>ing in 2022</w:t>
      </w:r>
      <w:r w:rsidR="008E6162">
        <w:t xml:space="preserve">. </w:t>
      </w:r>
    </w:p>
    <w:p w14:paraId="42F3CB0A" w14:textId="77777777" w:rsidR="00E43CC9" w:rsidRDefault="00EA1945" w:rsidP="00E43CC9">
      <w:pPr>
        <w:pStyle w:val="SubHeader"/>
      </w:pPr>
      <w:r>
        <w:t>Surprise Medical Bills</w:t>
      </w:r>
    </w:p>
    <w:p w14:paraId="1DC11EC5" w14:textId="77777777" w:rsidR="00A70E1D" w:rsidRDefault="00EA1945" w:rsidP="008A7E71">
      <w:pPr>
        <w:pStyle w:val="BodyText"/>
      </w:pPr>
      <w:r>
        <w:t xml:space="preserve">Surprise medical bills occur when patients unexpectedly receive care from </w:t>
      </w:r>
      <w:r w:rsidR="0002152B">
        <w:t xml:space="preserve">out-of-network </w:t>
      </w:r>
      <w:r w:rsidR="00E43CC9">
        <w:t>health care providers</w:t>
      </w:r>
      <w:r>
        <w:t xml:space="preserve">. For example, </w:t>
      </w:r>
      <w:r w:rsidR="00E43CC9">
        <w:t xml:space="preserve">a </w:t>
      </w:r>
      <w:r>
        <w:t>patient may go to an in-network hospital for treatment</w:t>
      </w:r>
      <w:r w:rsidR="00E43CC9">
        <w:t xml:space="preserve">, such as surgery or emergency care, but an out-of-network doctor may be involved in the patient’s care. </w:t>
      </w:r>
    </w:p>
    <w:p w14:paraId="14C620C5" w14:textId="77777777" w:rsidR="0002152B" w:rsidRDefault="00EA1945" w:rsidP="008A7E71">
      <w:pPr>
        <w:pStyle w:val="BodyText"/>
      </w:pPr>
      <w:r>
        <w:t>Patients often cannot determine the network status of these providers</w:t>
      </w:r>
      <w:r w:rsidR="008B5C57">
        <w:t xml:space="preserve"> during treatment </w:t>
      </w:r>
      <w:proofErr w:type="gramStart"/>
      <w:r>
        <w:t>in order to</w:t>
      </w:r>
      <w:proofErr w:type="gramEnd"/>
      <w:r>
        <w:t xml:space="preserve"> avoid the additional charges. </w:t>
      </w:r>
      <w:r w:rsidR="00A70E1D">
        <w:t>In many cases, the patient is not involved in the choice of provider at all.</w:t>
      </w:r>
    </w:p>
    <w:p w14:paraId="0FE3D7B2" w14:textId="77777777" w:rsidR="008A7E71" w:rsidRPr="008A7E71" w:rsidRDefault="00EA1945" w:rsidP="0024208C">
      <w:pPr>
        <w:pStyle w:val="SubHeader"/>
      </w:pPr>
      <w:r>
        <w:t>No Surprises Act</w:t>
      </w:r>
    </w:p>
    <w:p w14:paraId="32D68EFF" w14:textId="77777777" w:rsidR="008A7E71" w:rsidRDefault="00EA1945" w:rsidP="008A7E71">
      <w:pPr>
        <w:pStyle w:val="BodyText"/>
      </w:pPr>
      <w:r>
        <w:t>Th</w:t>
      </w:r>
      <w:r>
        <w:t xml:space="preserve">e Act </w:t>
      </w:r>
      <w:r w:rsidR="008B5C57">
        <w:t>applies</w:t>
      </w:r>
      <w:r>
        <w:t xml:space="preserve"> to </w:t>
      </w:r>
      <w:r w:rsidR="00C735E5">
        <w:t xml:space="preserve">surprise </w:t>
      </w:r>
      <w:r>
        <w:t xml:space="preserve">bills </w:t>
      </w:r>
      <w:r w:rsidR="001A6CBD">
        <w:t xml:space="preserve">from doctors, </w:t>
      </w:r>
      <w:proofErr w:type="gramStart"/>
      <w:r w:rsidR="001A6CBD">
        <w:t>hospitals</w:t>
      </w:r>
      <w:proofErr w:type="gramEnd"/>
      <w:r w:rsidR="001A6CBD">
        <w:t xml:space="preserve"> and air ambulances. </w:t>
      </w:r>
      <w:r w:rsidR="00347C01">
        <w:t>It</w:t>
      </w:r>
      <w:r w:rsidR="008B098E">
        <w:t xml:space="preserve"> </w:t>
      </w:r>
      <w:r w:rsidR="008B5C57">
        <w:t xml:space="preserve">will </w:t>
      </w:r>
      <w:r w:rsidR="008B098E">
        <w:t xml:space="preserve">prohibit </w:t>
      </w:r>
      <w:r w:rsidR="00347C01">
        <w:t xml:space="preserve">these </w:t>
      </w:r>
      <w:r w:rsidR="00A70E1D">
        <w:t xml:space="preserve">providers </w:t>
      </w:r>
      <w:r w:rsidR="006475B3">
        <w:t>from billing patients</w:t>
      </w:r>
      <w:r w:rsidR="00166C68">
        <w:t xml:space="preserve"> who have health coverage</w:t>
      </w:r>
      <w:r w:rsidR="008B098E">
        <w:t xml:space="preserve"> for unpaid balances</w:t>
      </w:r>
      <w:r w:rsidR="006475B3">
        <w:t xml:space="preserve">. Rather, </w:t>
      </w:r>
      <w:r w:rsidR="008B098E">
        <w:t xml:space="preserve">providers </w:t>
      </w:r>
      <w:r w:rsidR="008B5C57">
        <w:t>will</w:t>
      </w:r>
      <w:r w:rsidR="008E6162">
        <w:t xml:space="preserve"> </w:t>
      </w:r>
      <w:r w:rsidR="00A70E1D">
        <w:t>have to work with</w:t>
      </w:r>
      <w:r w:rsidR="001A6CBD">
        <w:t xml:space="preserve"> </w:t>
      </w:r>
      <w:r w:rsidR="006475B3">
        <w:t xml:space="preserve">the </w:t>
      </w:r>
      <w:r>
        <w:t xml:space="preserve">group health </w:t>
      </w:r>
      <w:r w:rsidR="006475B3">
        <w:t>plan or health insurance issuer to determine the app</w:t>
      </w:r>
      <w:r w:rsidR="00A70E1D">
        <w:t xml:space="preserve">ropriate amount to be paid </w:t>
      </w:r>
      <w:r w:rsidR="00C735E5">
        <w:t xml:space="preserve">by the plan or issuer, </w:t>
      </w:r>
      <w:r w:rsidR="00A70E1D">
        <w:t xml:space="preserve">under the methodology provided in the Act. </w:t>
      </w:r>
    </w:p>
    <w:p w14:paraId="6C38A37A" w14:textId="77777777" w:rsidR="00A70E1D" w:rsidRPr="008A7E71" w:rsidRDefault="00EA1945" w:rsidP="008A7E71">
      <w:pPr>
        <w:pStyle w:val="BodyText"/>
      </w:pPr>
      <w:r>
        <w:t>The Depts. of Health and Human Services, Labor and the Treasury will work together to issue regulations regarding this methodology</w:t>
      </w:r>
      <w:r w:rsidR="00C735E5">
        <w:t xml:space="preserve"> and</w:t>
      </w:r>
      <w:r>
        <w:t xml:space="preserve"> other </w:t>
      </w:r>
      <w:r w:rsidR="0002152B">
        <w:t>requirements</w:t>
      </w:r>
      <w:r>
        <w:t xml:space="preserve"> of the Act. </w:t>
      </w:r>
    </w:p>
    <w:p w14:paraId="53E46D2A" w14:textId="77777777" w:rsidR="008A7E71" w:rsidRPr="004967FA" w:rsidRDefault="00EA1945" w:rsidP="004967FA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0E681" wp14:editId="59E79CC8">
                <wp:simplePos x="0" y="0"/>
                <wp:positionH relativeFrom="column">
                  <wp:posOffset>-457200</wp:posOffset>
                </wp:positionH>
                <wp:positionV relativeFrom="page">
                  <wp:posOffset>5696712</wp:posOffset>
                </wp:positionV>
                <wp:extent cx="7771765" cy="252285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2522855"/>
                          <a:chOff x="3664" y="0"/>
                          <a:chExt cx="7764436" cy="25232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4" y="0"/>
                            <a:ext cx="7764436" cy="6299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7CD44" w14:textId="77777777" w:rsidR="00A47C53" w:rsidRPr="00A47C53" w:rsidRDefault="00EA1945" w:rsidP="00CF5E21">
                              <w:pPr>
                                <w:pStyle w:val="CallOutBox"/>
                              </w:pPr>
                              <w:r>
                                <w:t>Providers w</w:t>
                              </w:r>
                              <w:r w:rsidR="008B5C57">
                                <w:t>ill</w:t>
                              </w:r>
                              <w:r w:rsidR="008E6162">
                                <w:t xml:space="preserve"> </w:t>
                              </w:r>
                              <w:r>
                                <w:t>have to agree with health plans and issuers on a payment amount instead of</w:t>
                              </w:r>
                              <w:r w:rsidR="00166C68">
                                <w:t xml:space="preserve"> billing</w:t>
                              </w:r>
                              <w:r>
                                <w:t xml:space="preserve"> patients</w:t>
                              </w:r>
                              <w:r w:rsidR="008B098E">
                                <w:t xml:space="preserve"> for unpaid balances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width:611.95pt;height:198.65pt;margin-top:448.55pt;margin-left:-36pt;mso-position-vertical-relative:page;position:absolute;z-index:-251654144" coordorigin="36,0" coordsize="77644,25232">
                <v:shape id="Picture 5" o:spid="_x0000_s1031" type="#_x0000_t75" style="width:77645;height:6299;left:36;mso-wrap-style:square;position:absolute;visibility:visible">
                  <v:imagedata r:id="rId12" o:title=""/>
                </v:shape>
                <v:shape id="_x0000_s1032" type="#_x0000_t202" style="width:22936;height:24547;left:53187;mso-wrap-style:square;position:absolute;top:685;visibility:visible;v-text-anchor:middle" filled="f" stroked="f">
                  <v:textbox>
                    <w:txbxContent>
                      <w:p w:rsidR="00A47C53" w:rsidRPr="00A47C53" w:rsidP="00CF5E21" w14:paraId="36B876C9" w14:textId="300E4F70">
                        <w:pPr>
                          <w:pStyle w:val="CallOutBox"/>
                        </w:pPr>
                        <w:r>
                          <w:t>Providers w</w:t>
                        </w:r>
                        <w:r w:rsidR="008B5C57">
                          <w:t>ill</w:t>
                        </w:r>
                        <w:r w:rsidR="008E6162">
                          <w:t xml:space="preserve"> </w:t>
                        </w:r>
                        <w:r>
                          <w:t>have to agree with health plans and issuers on a payment amount instead of</w:t>
                        </w:r>
                        <w:r w:rsidR="00166C68">
                          <w:t xml:space="preserve"> billing</w:t>
                        </w:r>
                        <w:r>
                          <w:t xml:space="preserve"> patients</w:t>
                        </w:r>
                        <w:r w:rsidR="008B098E">
                          <w:t xml:space="preserve"> for unpaid balances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68E28" wp14:editId="503864C7">
                <wp:simplePos x="0" y="0"/>
                <wp:positionH relativeFrom="margin">
                  <wp:align>right</wp:align>
                </wp:positionH>
                <wp:positionV relativeFrom="margin">
                  <wp:posOffset>6074410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B84CE0" w14:textId="77777777" w:rsidR="008F7B15" w:rsidRPr="008864AB" w:rsidRDefault="00EA1945" w:rsidP="008F7B15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D26DCB">
                              <w:rPr>
                                <w:b/>
                                <w:color w:val="CE2C43"/>
                                <w:sz w:val="20"/>
                                <w:szCs w:val="20"/>
                              </w:rPr>
                              <w:t>Lipscomb &amp; Pitts Insurance,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width:347.2pt;height:42.4pt;margin-top:478.3pt;margin-left:0;mso-height-percent:0;mso-height-relative:margin;mso-position-horizontal:right;mso-position-horizontal-relative:margin;mso-position-vertical-relative:margin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8F7B15" w:rsidRPr="008864AB" w:rsidP="008F7B15" w14:paraId="0819E3CA" w14:textId="77777777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D26DCB">
                        <w:rPr>
                          <w:b/>
                          <w:color w:val="CE2C43"/>
                          <w:sz w:val="20"/>
                          <w:szCs w:val="20"/>
                        </w:rPr>
                        <w:t>Lipscomb &amp; Pitts Insurance, LLC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2152B">
        <w:t>Lipscomb &amp; Pitts Insurance, LLC will continue to keep you updated as information be</w:t>
      </w:r>
      <w:r w:rsidR="00940D17">
        <w:t>c</w:t>
      </w:r>
      <w:r w:rsidR="0002152B">
        <w:t xml:space="preserve">omes available on the details of the law. </w:t>
      </w:r>
    </w:p>
    <w:sectPr w:rsidR="008A7E71" w:rsidRPr="004967FA" w:rsidSect="008A7E71">
      <w:headerReference w:type="default" r:id="rId13"/>
      <w:footerReference w:type="default" r:id="rId14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872EF" w14:textId="77777777" w:rsidR="00000000" w:rsidRDefault="00EA1945">
      <w:pPr>
        <w:spacing w:after="0" w:line="240" w:lineRule="auto"/>
      </w:pPr>
      <w:r>
        <w:separator/>
      </w:r>
    </w:p>
  </w:endnote>
  <w:endnote w:type="continuationSeparator" w:id="0">
    <w:p w14:paraId="374A160B" w14:textId="77777777" w:rsidR="00000000" w:rsidRDefault="00EA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69B8" w14:textId="77777777" w:rsidR="0098636D" w:rsidRDefault="00EA19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0CD5E" wp14:editId="0EF3574F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48CD7E" w14:textId="77777777" w:rsidR="00796AD3" w:rsidRPr="00817EEE" w:rsidRDefault="00EA1945" w:rsidP="00796AD3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>pinions be construed as</w:t>
                          </w:r>
                          <w:r w:rsidRPr="00947E11">
                            <w:rPr>
                              <w:szCs w:val="16"/>
                            </w:rPr>
                            <w:t xml:space="preserve">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©20</w:t>
                          </w:r>
                          <w:r w:rsidR="00605F1F">
                            <w:t>20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14:paraId="2A005548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69D48452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18E51D7A" w14:textId="77777777" w:rsidR="008F7B15" w:rsidRPr="00947E11" w:rsidRDefault="008F7B15" w:rsidP="008F7B15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2050" type="#_x0000_t202" style="width:372.6pt;height:43.8pt;margin-top:-23.15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>
                <w:txbxContent>
                  <w:p w:rsidR="00796AD3" w:rsidRPr="00817EEE" w:rsidP="00796AD3" w14:paraId="7164220E" w14:textId="77777777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©20</w:t>
                    </w:r>
                    <w:r w:rsidR="00605F1F">
                      <w:t>20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:rsidR="00796AD3" w:rsidRPr="00947E11" w:rsidP="00796AD3" w14:paraId="297B704B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  <w:p w:rsidR="00796AD3" w:rsidRPr="00947E11" w:rsidP="00796AD3" w14:paraId="7F8FB4CD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  <w:p w:rsidR="008F7B15" w:rsidRPr="00947E11" w:rsidP="008F7B15" w14:paraId="47180838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F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9221B" wp14:editId="644E2652">
              <wp:simplePos x="0" y="0"/>
              <wp:positionH relativeFrom="margin">
                <wp:posOffset>7620</wp:posOffset>
              </wp:positionH>
              <wp:positionV relativeFrom="margin">
                <wp:posOffset>6043930</wp:posOffset>
              </wp:positionV>
              <wp:extent cx="4366260" cy="0"/>
              <wp:effectExtent l="19050" t="19050" r="15240" b="19050"/>
              <wp:wrapNone/>
              <wp:docPr id="19284660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CE2C43">
                            <a:alpha val="75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1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3360" from="0.6pt,475.9pt" to="344.4pt,475.9pt" strokecolor="#ce2c43" strokeweight="3.5pt">
              <v:stroke joinstyle="miter" opacity="49087f"/>
              <w10:wrap anchorx="margin" anchory="margin"/>
            </v:lin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9264" behindDoc="1" locked="0" layoutInCell="1" allowOverlap="1" wp14:anchorId="252100B1" wp14:editId="7E24452A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465172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F14BD" w14:textId="77777777" w:rsidR="00000000" w:rsidRDefault="00EA1945">
      <w:pPr>
        <w:spacing w:after="0" w:line="240" w:lineRule="auto"/>
      </w:pPr>
      <w:r>
        <w:separator/>
      </w:r>
    </w:p>
  </w:footnote>
  <w:footnote w:type="continuationSeparator" w:id="0">
    <w:p w14:paraId="43A68180" w14:textId="77777777" w:rsidR="00000000" w:rsidRDefault="00EA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5DC82" w14:textId="77777777" w:rsidR="0098636D" w:rsidRDefault="00EA194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1F8525" wp14:editId="3B439F81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5" cy="3856496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3856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C4AE125" wp14:editId="4FAC14A5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D9464" w14:textId="77777777" w:rsidR="00D35AF9" w:rsidRPr="00D35AF9" w:rsidRDefault="00EA1945" w:rsidP="00D35AF9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90pt;height:25.95pt;margin-top:200.8pt;margin-left:5in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5408" filled="f" stroked="f">
              <v:textbox>
                <w:txbxContent>
                  <w:p w:rsidR="00D35AF9" w:rsidRPr="00D35AF9" w:rsidP="00D35AF9" w14:paraId="707FD5DD" w14:textId="77777777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063"/>
    <w:multiLevelType w:val="hybridMultilevel"/>
    <w:tmpl w:val="F0601D0C"/>
    <w:lvl w:ilvl="0" w:tplc="97423DEE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CE2C43"/>
      </w:rPr>
    </w:lvl>
    <w:lvl w:ilvl="1" w:tplc="1EF29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40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3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47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B0B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62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8B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89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686"/>
    <w:multiLevelType w:val="hybridMultilevel"/>
    <w:tmpl w:val="409AC006"/>
    <w:lvl w:ilvl="0" w:tplc="347CF79E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 w:tplc="1C069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0C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47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89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0A6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21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49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307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49D5"/>
    <w:multiLevelType w:val="multilevel"/>
    <w:tmpl w:val="B13CDD56"/>
    <w:numStyleLink w:val="BulletedList"/>
  </w:abstractNum>
  <w:abstractNum w:abstractNumId="3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E2C4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419BC"/>
    <w:multiLevelType w:val="hybridMultilevel"/>
    <w:tmpl w:val="EE4CA336"/>
    <w:lvl w:ilvl="0" w:tplc="71F4102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CE2C43"/>
      </w:rPr>
    </w:lvl>
    <w:lvl w:ilvl="1" w:tplc="CE8C8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80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A9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AD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20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46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85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68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601A1"/>
    <w:multiLevelType w:val="hybridMultilevel"/>
    <w:tmpl w:val="43CE94D6"/>
    <w:lvl w:ilvl="0" w:tplc="315C2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E0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24E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82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C7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C2D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6E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4C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B0B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24744"/>
    <w:multiLevelType w:val="hybridMultilevel"/>
    <w:tmpl w:val="D67CDEAC"/>
    <w:lvl w:ilvl="0" w:tplc="D4AECDFC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C5028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140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49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A5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AA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00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29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BAB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MrI0NTAwMTczM7FU0lEKTi0uzszPAykwrAUA9MNLrSwAAAA="/>
  </w:docVars>
  <w:rsids>
    <w:rsidRoot w:val="00A0039F"/>
    <w:rsid w:val="0002152B"/>
    <w:rsid w:val="00042BE2"/>
    <w:rsid w:val="000A2A4D"/>
    <w:rsid w:val="000F6AEA"/>
    <w:rsid w:val="001050A8"/>
    <w:rsid w:val="0012162D"/>
    <w:rsid w:val="00154D6B"/>
    <w:rsid w:val="001631A4"/>
    <w:rsid w:val="00166C68"/>
    <w:rsid w:val="001725D9"/>
    <w:rsid w:val="001A6CBD"/>
    <w:rsid w:val="001B1A7E"/>
    <w:rsid w:val="0024208C"/>
    <w:rsid w:val="00243194"/>
    <w:rsid w:val="00246124"/>
    <w:rsid w:val="00251A1F"/>
    <w:rsid w:val="0026000D"/>
    <w:rsid w:val="0028463C"/>
    <w:rsid w:val="002B61D1"/>
    <w:rsid w:val="002F786C"/>
    <w:rsid w:val="003267EB"/>
    <w:rsid w:val="00347C01"/>
    <w:rsid w:val="0036117A"/>
    <w:rsid w:val="003A11FA"/>
    <w:rsid w:val="003A6B72"/>
    <w:rsid w:val="003B3561"/>
    <w:rsid w:val="003B36D3"/>
    <w:rsid w:val="003D4931"/>
    <w:rsid w:val="0041615C"/>
    <w:rsid w:val="00420B69"/>
    <w:rsid w:val="004702FA"/>
    <w:rsid w:val="0048508B"/>
    <w:rsid w:val="00485C3A"/>
    <w:rsid w:val="004967FA"/>
    <w:rsid w:val="004B125C"/>
    <w:rsid w:val="004D34B3"/>
    <w:rsid w:val="005137E3"/>
    <w:rsid w:val="00556D85"/>
    <w:rsid w:val="00584B55"/>
    <w:rsid w:val="005D05D9"/>
    <w:rsid w:val="00605F1F"/>
    <w:rsid w:val="006203C7"/>
    <w:rsid w:val="006475B3"/>
    <w:rsid w:val="0066265A"/>
    <w:rsid w:val="006A2A41"/>
    <w:rsid w:val="00707343"/>
    <w:rsid w:val="00770406"/>
    <w:rsid w:val="00796AD3"/>
    <w:rsid w:val="00802FF0"/>
    <w:rsid w:val="00817EEE"/>
    <w:rsid w:val="00855DD7"/>
    <w:rsid w:val="00856044"/>
    <w:rsid w:val="00866302"/>
    <w:rsid w:val="00871E9E"/>
    <w:rsid w:val="008864AB"/>
    <w:rsid w:val="0089147A"/>
    <w:rsid w:val="008A7E71"/>
    <w:rsid w:val="008B098E"/>
    <w:rsid w:val="008B1A4D"/>
    <w:rsid w:val="008B5C57"/>
    <w:rsid w:val="008E6162"/>
    <w:rsid w:val="008F7B15"/>
    <w:rsid w:val="00926535"/>
    <w:rsid w:val="00940D17"/>
    <w:rsid w:val="009440BA"/>
    <w:rsid w:val="00947E11"/>
    <w:rsid w:val="0098636D"/>
    <w:rsid w:val="00991427"/>
    <w:rsid w:val="00993033"/>
    <w:rsid w:val="009D4BB6"/>
    <w:rsid w:val="009E2B6A"/>
    <w:rsid w:val="009E4DC9"/>
    <w:rsid w:val="009F464E"/>
    <w:rsid w:val="00A0039F"/>
    <w:rsid w:val="00A337BD"/>
    <w:rsid w:val="00A47C53"/>
    <w:rsid w:val="00A65FD8"/>
    <w:rsid w:val="00A70E1D"/>
    <w:rsid w:val="00A85321"/>
    <w:rsid w:val="00AD0649"/>
    <w:rsid w:val="00B22B58"/>
    <w:rsid w:val="00B77454"/>
    <w:rsid w:val="00BA7D47"/>
    <w:rsid w:val="00BE45C1"/>
    <w:rsid w:val="00C735E5"/>
    <w:rsid w:val="00C741AE"/>
    <w:rsid w:val="00C94E12"/>
    <w:rsid w:val="00CA4E58"/>
    <w:rsid w:val="00CB623A"/>
    <w:rsid w:val="00CE7CCB"/>
    <w:rsid w:val="00CF5E21"/>
    <w:rsid w:val="00D2167C"/>
    <w:rsid w:val="00D26DCB"/>
    <w:rsid w:val="00D35AF9"/>
    <w:rsid w:val="00D379D5"/>
    <w:rsid w:val="00D76FCB"/>
    <w:rsid w:val="00DC3880"/>
    <w:rsid w:val="00DF62AA"/>
    <w:rsid w:val="00E16E6C"/>
    <w:rsid w:val="00E378E3"/>
    <w:rsid w:val="00E43CC9"/>
    <w:rsid w:val="00E73236"/>
    <w:rsid w:val="00EA1945"/>
    <w:rsid w:val="00EA37DE"/>
    <w:rsid w:val="00EC2053"/>
    <w:rsid w:val="00F32D2D"/>
    <w:rsid w:val="00F32F5A"/>
    <w:rsid w:val="00F927D8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FEED"/>
  <w15:chartTrackingRefBased/>
  <w15:docId w15:val="{C66DA0EB-C472-4279-BE5C-B9E3B00D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0A2A4D"/>
    <w:pPr>
      <w:spacing w:after="120" w:line="228" w:lineRule="auto"/>
    </w:pPr>
    <w:rPr>
      <w:b/>
      <w:color w:val="CE2C43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0A2A4D"/>
    <w:rPr>
      <w:b/>
      <w:color w:val="CE2C43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28463C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28463C"/>
    <w:pPr>
      <w:jc w:val="center"/>
    </w:pPr>
    <w:rPr>
      <w:b/>
      <w:i/>
      <w:color w:val="CE2C43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28463C"/>
    <w:rPr>
      <w:b/>
      <w:i/>
      <w:color w:val="CE2C43"/>
      <w:sz w:val="36"/>
      <w:szCs w:val="36"/>
    </w:rPr>
  </w:style>
  <w:style w:type="numbering" w:customStyle="1" w:styleId="BulletedList">
    <w:name w:val="Bulleted List"/>
    <w:uiPriority w:val="99"/>
    <w:rsid w:val="00991427"/>
    <w:pPr>
      <w:numPr>
        <w:numId w:val="5"/>
      </w:numPr>
    </w:pPr>
  </w:style>
  <w:style w:type="paragraph" w:customStyle="1" w:styleId="Bullet">
    <w:name w:val="Bullet"/>
    <w:basedOn w:val="Normal"/>
    <w:link w:val="BulletChar"/>
    <w:qFormat/>
    <w:rsid w:val="00B77454"/>
    <w:pPr>
      <w:numPr>
        <w:numId w:val="7"/>
      </w:numPr>
      <w:spacing w:after="0"/>
    </w:pPr>
  </w:style>
  <w:style w:type="character" w:customStyle="1" w:styleId="BulletChar">
    <w:name w:val="Bullet Char"/>
    <w:basedOn w:val="DefaultParagraphFont"/>
    <w:link w:val="Bullet"/>
    <w:rsid w:val="00B77454"/>
  </w:style>
  <w:style w:type="character" w:styleId="Hyperlink">
    <w:name w:val="Hyperlink"/>
    <w:basedOn w:val="DefaultParagraphFont"/>
    <w:uiPriority w:val="99"/>
    <w:unhideWhenUsed/>
    <w:rsid w:val="00154D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D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0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les.house.gov/sites/democrats.rules.house.gov/files/BILLS-116HR133SA-RCP-116-68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Legal%20Content\2020%20Compliance%20Docs%20Redesign\Legal%20Update\HEALTH_Legal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HEALTH_Legal Update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Erica</dc:creator>
  <cp:lastModifiedBy>Sarah Gillespie</cp:lastModifiedBy>
  <cp:revision>2</cp:revision>
  <dcterms:created xsi:type="dcterms:W3CDTF">2021-01-07T18:35:00Z</dcterms:created>
  <dcterms:modified xsi:type="dcterms:W3CDTF">2021-01-07T18:35:00Z</dcterms:modified>
</cp:coreProperties>
</file>