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53FB" w14:textId="77777777" w:rsidR="00E16A12" w:rsidRPr="0079281B" w:rsidRDefault="003E63B6" w:rsidP="007C588E">
      <w:pPr>
        <w:spacing w:after="0"/>
        <w:ind w:right="180"/>
      </w:pPr>
      <w:r>
        <w:rPr>
          <w:rStyle w:val="TitleChar"/>
          <w:rFonts w:eastAsia="Calibri"/>
          <w:noProof/>
        </w:rPr>
        <w:drawing>
          <wp:anchor distT="0" distB="0" distL="114300" distR="114300" simplePos="0" relativeHeight="251658240" behindDoc="0" locked="1" layoutInCell="1" allowOverlap="1" wp14:anchorId="42C06692" wp14:editId="6A2BCC06">
            <wp:simplePos x="0" y="0"/>
            <wp:positionH relativeFrom="margin">
              <wp:posOffset>4064000</wp:posOffset>
            </wp:positionH>
            <wp:positionV relativeFrom="margin">
              <wp:posOffset>5778500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47800" name=""/>
                    <pic:cNvPicPr>
                      <a:picLocks noChangeAspect="1"/>
                    </pic:cNvPicPr>
                  </pic:nvPicPr>
                  <pic:blipFill>
                    <a:blip r:embed="rId8"/>
                    <a:stretch>
                      <a:fillRect/>
                    </a:stretch>
                  </pic:blipFill>
                  <pic:spPr>
                    <a:xfrm>
                      <a:off x="0" y="0"/>
                      <a:ext cx="1645923" cy="1120142"/>
                    </a:xfrm>
                    <a:prstGeom prst="rect">
                      <a:avLst/>
                    </a:prstGeom>
                  </pic:spPr>
                </pic:pic>
              </a:graphicData>
            </a:graphic>
          </wp:anchor>
        </w:drawing>
      </w:r>
      <w:r w:rsidR="00D62638" w:rsidRPr="00421CD2">
        <w:rPr>
          <w:noProof/>
          <w:color w:val="FF0000"/>
        </w:rPr>
        <mc:AlternateContent>
          <mc:Choice Requires="wps">
            <w:drawing>
              <wp:anchor distT="0" distB="0" distL="114300" distR="114300" simplePos="0" relativeHeight="251660288" behindDoc="0" locked="0" layoutInCell="1" allowOverlap="1" wp14:anchorId="2D3EEBFB" wp14:editId="61EFC1F1">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36285" w14:textId="77777777" w:rsidR="007C588E" w:rsidRPr="00926090" w:rsidRDefault="00D62638"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7CE767B3" w14:textId="77777777" w:rsidR="005A3634" w:rsidRPr="00926090" w:rsidRDefault="00D62638"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D3EEBFB"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" filled="f" stroked="f">
                <v:textbox inset="0,0,0,0">
                  <w:txbxContent>
                    <w:p w14:paraId="60036285" w14:textId="77777777" w:rsidR="007C588E" w:rsidRPr="00926090" w:rsidRDefault="00D62638"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7CE767B3" w14:textId="77777777" w:rsidR="005A3634" w:rsidRPr="00926090" w:rsidRDefault="00D62638"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v:textbox>
                <w10:wrap anchorx="margin" anchory="margin"/>
              </v:shape>
            </w:pict>
          </mc:Fallback>
        </mc:AlternateContent>
      </w:r>
      <w:r>
        <w:rPr>
          <w:rStyle w:val="TitleChar"/>
          <w:rFonts w:eastAsia="Calibri"/>
        </w:rPr>
        <w:t>COVID-19 Vaccine Considerations for Employers</w:t>
      </w:r>
    </w:p>
    <w:p w14:paraId="14C4A6CB" w14:textId="77777777" w:rsidR="001826D5" w:rsidRDefault="00D62638" w:rsidP="00825F79">
      <w:pPr>
        <w:pStyle w:val="body"/>
      </w:pPr>
      <w:r>
        <w:t xml:space="preserve">Since the onset of the COVID-19 pandemic, </w:t>
      </w:r>
      <w:r w:rsidR="00B120C3">
        <w:t>companies across the globe have been working to develop a COVID-19 vaccine. As the pandemic continues on and vaccine clinical trials progress, the</w:t>
      </w:r>
      <w:r w:rsidR="009B6E7B">
        <w:t>re may be a possibility</w:t>
      </w:r>
      <w:r w:rsidR="00B120C3">
        <w:t xml:space="preserve"> of a COVID-19 vaccine </w:t>
      </w:r>
      <w:r w:rsidR="009B6E7B">
        <w:t xml:space="preserve">being approved for use in the foreseeable future. </w:t>
      </w:r>
    </w:p>
    <w:p w14:paraId="573F6EB8" w14:textId="77777777" w:rsidR="009B6E7B" w:rsidRDefault="00D62638" w:rsidP="00825F79">
      <w:pPr>
        <w:pStyle w:val="body"/>
      </w:pPr>
      <w:r>
        <w:t xml:space="preserve">The prospect of a vaccine </w:t>
      </w:r>
      <w:r w:rsidR="00B63CCF">
        <w:t>is exciting</w:t>
      </w:r>
      <w:r>
        <w:t xml:space="preserve"> to </w:t>
      </w:r>
      <w:r w:rsidR="00B63CCF">
        <w:t>most</w:t>
      </w:r>
      <w:r>
        <w:t xml:space="preserve">, but also presents </w:t>
      </w:r>
      <w:r w:rsidR="00756035">
        <w:t xml:space="preserve">challenges for employers. </w:t>
      </w:r>
      <w:r w:rsidR="002A022B">
        <w:t xml:space="preserve">Employers </w:t>
      </w:r>
      <w:r w:rsidR="00275A14">
        <w:t>may be considering w</w:t>
      </w:r>
      <w:r w:rsidR="00C31E31">
        <w:t>hether vaccination will be encouraged or mandated</w:t>
      </w:r>
      <w:r w:rsidR="00275A14">
        <w:t xml:space="preserve">. </w:t>
      </w:r>
    </w:p>
    <w:p w14:paraId="378772CB" w14:textId="77777777" w:rsidR="00275A14" w:rsidRPr="001826D5" w:rsidRDefault="00D62638" w:rsidP="00825F79">
      <w:pPr>
        <w:pStyle w:val="body"/>
      </w:pPr>
      <w:r>
        <w:t xml:space="preserve">Employers must navigate the inherent legal risks </w:t>
      </w:r>
      <w:r w:rsidR="00967E6F">
        <w:t xml:space="preserve">and </w:t>
      </w:r>
      <w:r>
        <w:t>logistics of mandating or encouraging employees to receive the COVID-19 vaccine. To do so, employers should se</w:t>
      </w:r>
      <w:r>
        <w:t>ek legal counsel to discuss which course of action is best</w:t>
      </w:r>
      <w:r w:rsidR="006A6951">
        <w:t xml:space="preserve"> for their organization</w:t>
      </w:r>
      <w:r>
        <w:t>.</w:t>
      </w:r>
      <w:r w:rsidR="00967E6F">
        <w:t xml:space="preserve"> T</w:t>
      </w:r>
      <w:r>
        <w:t xml:space="preserve">his article provides a general </w:t>
      </w:r>
      <w:r w:rsidR="006A6951">
        <w:t xml:space="preserve">informational </w:t>
      </w:r>
      <w:r>
        <w:t xml:space="preserve">overview of considerations for employers. </w:t>
      </w:r>
    </w:p>
    <w:p w14:paraId="624BA970" w14:textId="77777777" w:rsidR="00825F79" w:rsidRPr="008C0AAA" w:rsidRDefault="00D62638" w:rsidP="00825F79">
      <w:pPr>
        <w:pStyle w:val="Heading1"/>
      </w:pPr>
      <w:r w:rsidRPr="008C0AAA">
        <w:t>Governmental Guidance</w:t>
      </w:r>
    </w:p>
    <w:p w14:paraId="0BB029C6" w14:textId="77777777" w:rsidR="00825F79" w:rsidRDefault="00D62638" w:rsidP="006E3811">
      <w:pPr>
        <w:pStyle w:val="body"/>
      </w:pPr>
      <w:r>
        <w:t xml:space="preserve">The Equal Employment Opportunity Commission (EEOC) and OSHA have both issued guidance </w:t>
      </w:r>
      <w:r w:rsidR="006A6951">
        <w:t xml:space="preserve">on vaccines in the employment context in the past, but make no specific mention </w:t>
      </w:r>
      <w:r w:rsidR="00967E6F">
        <w:t xml:space="preserve">of </w:t>
      </w:r>
      <w:r w:rsidR="007D1ABD">
        <w:t>a COVID-19 vaccine.</w:t>
      </w:r>
    </w:p>
    <w:p w14:paraId="003F3C9E" w14:textId="77777777" w:rsidR="008C0AAA" w:rsidRPr="008C0AAA" w:rsidRDefault="00D62638" w:rsidP="008C0AAA">
      <w:pPr>
        <w:pStyle w:val="Heading1"/>
        <w:rPr>
          <w:b w:val="0"/>
          <w:i/>
        </w:rPr>
      </w:pPr>
      <w:r>
        <w:rPr>
          <w:b w:val="0"/>
          <w:i/>
        </w:rPr>
        <w:t>OSHA Guidance</w:t>
      </w:r>
    </w:p>
    <w:p w14:paraId="150528E8" w14:textId="77777777" w:rsidR="006A6951" w:rsidRDefault="00D62638" w:rsidP="006E3811">
      <w:pPr>
        <w:pStyle w:val="body"/>
      </w:pPr>
      <w:r>
        <w:t xml:space="preserve">Per OSHA, employers can require </w:t>
      </w:r>
      <w:r w:rsidR="00A26DB3">
        <w:t>employees to receive vaccinations for influenza</w:t>
      </w:r>
      <w:r w:rsidR="00967E6F">
        <w:t xml:space="preserve">, providing they </w:t>
      </w:r>
      <w:r w:rsidR="00A26DB3">
        <w:t xml:space="preserve">properly inform employees of “the benefits of vaccinations.” In addition, OSHA </w:t>
      </w:r>
      <w:hyperlink r:id="rId9" w:history="1">
        <w:r w:rsidR="00A26DB3" w:rsidRPr="00A26DB3">
          <w:rPr>
            <w:rStyle w:val="Hyperlink"/>
          </w:rPr>
          <w:t>states</w:t>
        </w:r>
      </w:hyperlink>
      <w:r w:rsidR="00A26DB3">
        <w:t xml:space="preserve"> that employees can refuse a vaccination due to </w:t>
      </w:r>
      <w:r w:rsidR="00C74837">
        <w:t xml:space="preserve">a reasonable belief that </w:t>
      </w:r>
      <w:r w:rsidR="00C31E31">
        <w:t>they have an</w:t>
      </w:r>
      <w:r w:rsidR="00C74837">
        <w:t xml:space="preserve"> </w:t>
      </w:r>
      <w:r w:rsidR="00A26DB3">
        <w:t>underlying medical condition</w:t>
      </w:r>
      <w:r w:rsidR="00C31E31">
        <w:t xml:space="preserve"> that creates a real danger of </w:t>
      </w:r>
      <w:r w:rsidR="00C31E31">
        <w:t>serious illness or death</w:t>
      </w:r>
      <w:r w:rsidR="00967E6F">
        <w:t>,</w:t>
      </w:r>
      <w:r w:rsidR="00A26DB3">
        <w:t xml:space="preserve"> and that they “may be protected under Section 11(c) of the Occupational Health and Safety Act of 1970 pertaining to whistleblower rights.” </w:t>
      </w:r>
    </w:p>
    <w:p w14:paraId="01FF05E8" w14:textId="77777777" w:rsidR="008C0AAA" w:rsidRPr="008C0AAA" w:rsidRDefault="00D62638" w:rsidP="008C0AAA">
      <w:pPr>
        <w:pStyle w:val="Heading1"/>
        <w:rPr>
          <w:b w:val="0"/>
          <w:i/>
        </w:rPr>
      </w:pPr>
      <w:r>
        <w:rPr>
          <w:b w:val="0"/>
          <w:i/>
        </w:rPr>
        <w:t>EEOC Guidance</w:t>
      </w:r>
    </w:p>
    <w:p w14:paraId="2F924AEA" w14:textId="77777777" w:rsidR="006A6951" w:rsidRDefault="00D62638" w:rsidP="006E3811">
      <w:pPr>
        <w:pStyle w:val="body"/>
      </w:pPr>
      <w:r>
        <w:t xml:space="preserve">The EEOC, which enforces the Americans with Disabilities Act (ADA) and Title VII of the Civil Rights Act of 1964 (Title VII), has also issued guidance regarding vaccines in the employment context. Specifically, in </w:t>
      </w:r>
      <w:hyperlink r:id="rId10" w:history="1">
        <w:r w:rsidRPr="008C0AAA">
          <w:rPr>
            <w:rStyle w:val="Hyperlink"/>
          </w:rPr>
          <w:t>March 2020</w:t>
        </w:r>
      </w:hyperlink>
      <w:r>
        <w:t xml:space="preserve">, the EEOC </w:t>
      </w:r>
      <w:r w:rsidR="008C0AAA">
        <w:t xml:space="preserve">addressed whether employers covered by the ADA and Title VII can compel employees to </w:t>
      </w:r>
      <w:r w:rsidR="00967E6F">
        <w:t xml:space="preserve">receive </w:t>
      </w:r>
      <w:r w:rsidR="008C0AAA">
        <w:t xml:space="preserve">the influenza vaccine. In this guidance, it was noted that there was not a COVID-19 vaccine yet. </w:t>
      </w:r>
    </w:p>
    <w:p w14:paraId="1A50B06F" w14:textId="77777777" w:rsidR="00275A14" w:rsidRDefault="00D62638" w:rsidP="00275A14">
      <w:pPr>
        <w:pStyle w:val="body"/>
      </w:pPr>
      <w:r>
        <w:t>Additionally</w:t>
      </w:r>
      <w:r w:rsidR="008C0AAA">
        <w:t xml:space="preserve">, the EEOC explained that </w:t>
      </w:r>
      <w:r w:rsidR="00C31E31">
        <w:t>an employee may be entitled to an exemption from a mandatory vaccine based on a disability that prevents the employee from taking the vaccine.</w:t>
      </w:r>
      <w:r w:rsidR="00360C17">
        <w:t xml:space="preserve"> </w:t>
      </w:r>
      <w:r w:rsidR="00C31E31">
        <w:t xml:space="preserve">This would be </w:t>
      </w:r>
      <w:r w:rsidR="00360C17">
        <w:t>considered a reasonable accommodation,</w:t>
      </w:r>
      <w:r w:rsidR="00C31E31">
        <w:t xml:space="preserve"> and the employer would be required to grant the accommodation</w:t>
      </w:r>
      <w:r>
        <w:t>,</w:t>
      </w:r>
      <w:r w:rsidR="00360C17">
        <w:t xml:space="preserve"> unless it creates an undue hardship for the employer. The ADA defines an undue hardship as </w:t>
      </w:r>
      <w:r w:rsidR="004063A5">
        <w:t>an</w:t>
      </w:r>
      <w:r w:rsidR="00360C17" w:rsidRPr="00625D45">
        <w:t xml:space="preserve"> action requiring significant difficulty or expense when considered in light of factors such as an emplo</w:t>
      </w:r>
      <w:r w:rsidR="00360C17">
        <w:t>yer's size, financial resources</w:t>
      </w:r>
      <w:r>
        <w:t>,</w:t>
      </w:r>
      <w:r w:rsidR="00360C17" w:rsidRPr="00625D45">
        <w:t xml:space="preserve"> and the nature and structure of its operation.</w:t>
      </w:r>
    </w:p>
    <w:p w14:paraId="248D6289" w14:textId="77777777" w:rsidR="00F1334E" w:rsidRDefault="00D62638" w:rsidP="00194F75">
      <w:pPr>
        <w:pStyle w:val="body"/>
      </w:pPr>
      <w:r>
        <w:t>The EEOC</w:t>
      </w:r>
      <w:r w:rsidR="00194F75">
        <w:t xml:space="preserve"> also states that, under Title VII, employees with sincerely held religious beliefs may be entitled to an exemption from a mandatory vaccination,</w:t>
      </w:r>
    </w:p>
    <w:p w14:paraId="5F09F98C" w14:textId="77777777" w:rsidR="008F034D" w:rsidRDefault="008F034D" w:rsidP="00F1334E">
      <w:pPr>
        <w:pStyle w:val="bullets"/>
        <w:numPr>
          <w:ilvl w:val="0"/>
          <w:numId w:val="0"/>
        </w:numPr>
        <w:ind w:left="720"/>
        <w:sectPr w:rsidR="008F034D" w:rsidSect="007F6CA5">
          <w:headerReference w:type="default" r:id="rId11"/>
          <w:headerReference w:type="first" r:id="rId12"/>
          <w:footerReference w:type="first" r:id="rId13"/>
          <w:pgSz w:w="12240" w:h="15840"/>
          <w:pgMar w:top="3312" w:right="1440" w:bottom="1872" w:left="1440" w:header="720" w:footer="720" w:gutter="0"/>
          <w:cols w:num="2" w:space="720"/>
          <w:titlePg/>
          <w:docGrid w:linePitch="360"/>
        </w:sectPr>
      </w:pPr>
    </w:p>
    <w:p w14:paraId="1CB754E7" w14:textId="77777777" w:rsidR="00194F75" w:rsidRDefault="00D62638" w:rsidP="00194F75">
      <w:pPr>
        <w:pStyle w:val="body"/>
      </w:pPr>
      <w:r>
        <w:lastRenderedPageBreak/>
        <w:t xml:space="preserve">which is considered a reasonable accommodation, unless it creates an undue hardship for the employer. </w:t>
      </w:r>
      <w:r w:rsidR="00C31E31">
        <w:t>Note that</w:t>
      </w:r>
      <w:r>
        <w:t xml:space="preserve"> undue hardship under Title VII is</w:t>
      </w:r>
      <w:r w:rsidR="00C31E31">
        <w:t xml:space="preserve"> defined as a</w:t>
      </w:r>
      <w:r>
        <w:t xml:space="preserve"> </w:t>
      </w:r>
      <w:r w:rsidR="00C31E31">
        <w:t xml:space="preserve">“request that results in more than a </w:t>
      </w:r>
      <w:r w:rsidR="00C31E31">
        <w:rPr>
          <w:i/>
        </w:rPr>
        <w:t xml:space="preserve">de </w:t>
      </w:r>
      <w:r w:rsidR="00C31E31" w:rsidRPr="0037048C">
        <w:rPr>
          <w:i/>
        </w:rPr>
        <w:t>minimis</w:t>
      </w:r>
      <w:r w:rsidR="00C31E31">
        <w:t xml:space="preserve"> cost to the operation of the employer’s business.</w:t>
      </w:r>
      <w:r w:rsidR="0017332D">
        <w:t>”</w:t>
      </w:r>
      <w:r w:rsidR="00C31E31">
        <w:t xml:space="preserve"> This is a much </w:t>
      </w:r>
      <w:r>
        <w:t xml:space="preserve">lower standard than under the ADA. </w:t>
      </w:r>
    </w:p>
    <w:p w14:paraId="4040E667" w14:textId="77777777" w:rsidR="00194F75" w:rsidRDefault="00D62638" w:rsidP="00194F75">
      <w:pPr>
        <w:pStyle w:val="body"/>
      </w:pPr>
      <w:r>
        <w:t>As such, these exemptions and the discrimination risk posed by mandating employees to receive any vaccine—including a COVID-19 vaccine when and if it becomes available—have led the EEOC to advise employers to simply encourage vaccination rather than mandat</w:t>
      </w:r>
      <w:r>
        <w:t xml:space="preserve">ing it. </w:t>
      </w:r>
    </w:p>
    <w:p w14:paraId="14D3D802" w14:textId="77777777" w:rsidR="002D7AA1" w:rsidRDefault="00D62638" w:rsidP="002D7AA1">
      <w:pPr>
        <w:pStyle w:val="Heading1"/>
      </w:pPr>
      <w:r>
        <w:t>Employer Considerations</w:t>
      </w:r>
    </w:p>
    <w:p w14:paraId="1E128F5C" w14:textId="77777777" w:rsidR="002D7AA1" w:rsidRDefault="00D62638" w:rsidP="002D7AA1">
      <w:pPr>
        <w:pStyle w:val="body"/>
      </w:pPr>
      <w:r>
        <w:t xml:space="preserve">There are a host of considerations employers need to review before coming to a decision on whether to encourage or require employees to receive a COVID-19 vaccination. </w:t>
      </w:r>
    </w:p>
    <w:p w14:paraId="49126C9A" w14:textId="77777777" w:rsidR="002D7AA1" w:rsidRDefault="00D62638" w:rsidP="002D7AA1">
      <w:pPr>
        <w:pStyle w:val="body"/>
      </w:pPr>
      <w:r>
        <w:t>Employers should consider the following when reviewing</w:t>
      </w:r>
      <w:r>
        <w:t xml:space="preserve"> their options:</w:t>
      </w:r>
    </w:p>
    <w:p w14:paraId="62DD21EA" w14:textId="77777777" w:rsidR="008F3DBF" w:rsidRDefault="00D62638" w:rsidP="00EC2F81">
      <w:pPr>
        <w:pStyle w:val="bullets"/>
        <w:spacing w:after="160"/>
        <w:contextualSpacing w:val="0"/>
      </w:pPr>
      <w:r>
        <w:rPr>
          <w:b/>
        </w:rPr>
        <w:t>Evaluating u</w:t>
      </w:r>
      <w:r w:rsidR="002D7AA1">
        <w:rPr>
          <w:b/>
        </w:rPr>
        <w:t>ndue safety burdens</w:t>
      </w:r>
      <w:r w:rsidR="002D7AA1">
        <w:t xml:space="preserve">—Employers will face the challenge of determining whether an employee poses an undue safety burden on co-workers by choosing  not </w:t>
      </w:r>
      <w:r w:rsidR="00430F6E">
        <w:t xml:space="preserve">to </w:t>
      </w:r>
      <w:r w:rsidR="002D7AA1">
        <w:t xml:space="preserve">get vaccinated (if the </w:t>
      </w:r>
      <w:r>
        <w:t>employer is simply encouraging receiving the vaccine) or being exempt from a mandated vaccination. W</w:t>
      </w:r>
      <w:r>
        <w:t>hen evaluating this consideration, employers will need to decide whether there are other precautions that can be put into place to protect employees, which may include:</w:t>
      </w:r>
    </w:p>
    <w:p w14:paraId="586B0345" w14:textId="77777777" w:rsidR="008F3DBF" w:rsidRDefault="00D62638" w:rsidP="00EC2F81">
      <w:pPr>
        <w:pStyle w:val="bullets"/>
        <w:numPr>
          <w:ilvl w:val="1"/>
          <w:numId w:val="3"/>
        </w:numPr>
        <w:spacing w:after="160"/>
        <w:contextualSpacing w:val="0"/>
      </w:pPr>
      <w:r>
        <w:t>Social distancing protocols</w:t>
      </w:r>
    </w:p>
    <w:p w14:paraId="1C69522C" w14:textId="77777777" w:rsidR="008F3DBF" w:rsidRDefault="00D62638" w:rsidP="00EC2F81">
      <w:pPr>
        <w:pStyle w:val="bullets"/>
        <w:numPr>
          <w:ilvl w:val="1"/>
          <w:numId w:val="3"/>
        </w:numPr>
        <w:spacing w:after="160"/>
        <w:contextualSpacing w:val="0"/>
      </w:pPr>
      <w:r>
        <w:t>Requiring employees to wear masks at work</w:t>
      </w:r>
    </w:p>
    <w:p w14:paraId="0F822F3D" w14:textId="77777777" w:rsidR="002D7AA1" w:rsidRDefault="00D62638" w:rsidP="00EC2F81">
      <w:pPr>
        <w:pStyle w:val="bullets"/>
        <w:numPr>
          <w:ilvl w:val="1"/>
          <w:numId w:val="3"/>
        </w:numPr>
        <w:spacing w:after="160"/>
        <w:contextualSpacing w:val="0"/>
      </w:pPr>
      <w:r>
        <w:t>Leveraging teleco</w:t>
      </w:r>
      <w:r>
        <w:t xml:space="preserve">mmuting arrangements </w:t>
      </w:r>
    </w:p>
    <w:p w14:paraId="105AF50E" w14:textId="77777777" w:rsidR="008F3DBF" w:rsidRDefault="00D62638" w:rsidP="00EC2F81">
      <w:pPr>
        <w:pStyle w:val="bullets"/>
        <w:spacing w:after="160"/>
        <w:contextualSpacing w:val="0"/>
      </w:pPr>
      <w:r>
        <w:rPr>
          <w:b/>
        </w:rPr>
        <w:t>Assessing and granting exemptions</w:t>
      </w:r>
      <w:r>
        <w:t xml:space="preserve">—If employers decide to require employees to get a COVID-19 vaccine, they will need to be prepared for the difficult task of determining whether </w:t>
      </w:r>
      <w:r w:rsidR="002067D0">
        <w:t xml:space="preserve">an individual worker qualifies for a reasonable accommodation in the form of an exemption from receiving the vaccine under the ADA or Title VII. This assessment would need to be done on a case-by-case basis and could </w:t>
      </w:r>
      <w:r w:rsidR="002067D0">
        <w:t xml:space="preserve">potentially leave an employer open to legal action should they wrongly deny an exemption request. In addition, </w:t>
      </w:r>
      <w:r w:rsidR="00967E6F">
        <w:t xml:space="preserve">the </w:t>
      </w:r>
      <w:r w:rsidR="002067D0">
        <w:t xml:space="preserve">employer will also have to navigate protecting the rest of the workforce should an employee be exempt from being vaccinated. </w:t>
      </w:r>
    </w:p>
    <w:p w14:paraId="0C77CEEA" w14:textId="77777777" w:rsidR="002067D0" w:rsidRDefault="00D62638" w:rsidP="00EC2F81">
      <w:pPr>
        <w:pStyle w:val="bullets"/>
        <w:spacing w:after="160"/>
        <w:contextualSpacing w:val="0"/>
      </w:pPr>
      <w:r>
        <w:rPr>
          <w:b/>
        </w:rPr>
        <w:t xml:space="preserve">Evaluating legal </w:t>
      </w:r>
      <w:r w:rsidR="00D64EBF">
        <w:rPr>
          <w:b/>
        </w:rPr>
        <w:t xml:space="preserve">risks </w:t>
      </w:r>
      <w:r>
        <w:rPr>
          <w:b/>
        </w:rPr>
        <w:t>of requiring vaccines</w:t>
      </w:r>
      <w:r>
        <w:t xml:space="preserve">—Employers need to consider </w:t>
      </w:r>
      <w:r w:rsidR="00EC2F81">
        <w:t xml:space="preserve">the possibility that they may receive legal claims </w:t>
      </w:r>
      <w:r w:rsidR="00967E6F">
        <w:t xml:space="preserve">if </w:t>
      </w:r>
      <w:r w:rsidR="00EC2F81">
        <w:t xml:space="preserve">they require employees to be vaccinated and an employee experiences an adverse reaction to the vaccine or develops subsequent health problems. </w:t>
      </w:r>
    </w:p>
    <w:p w14:paraId="6B499CA7" w14:textId="77777777" w:rsidR="00EC2F81" w:rsidRDefault="00D62638" w:rsidP="008F3DBF">
      <w:pPr>
        <w:pStyle w:val="bullets"/>
      </w:pPr>
      <w:r>
        <w:rPr>
          <w:b/>
        </w:rPr>
        <w:t>Sorting out the logistics of requiring or recommending vaccination</w:t>
      </w:r>
      <w:r>
        <w:t>—Regardless of whether employe</w:t>
      </w:r>
      <w:r>
        <w:t>rs require or mandate COVID-19 vaccination, there are logistical elements to consider, including:</w:t>
      </w:r>
    </w:p>
    <w:p w14:paraId="020BB4F9" w14:textId="77777777" w:rsidR="00D64EBF" w:rsidRDefault="00D62638" w:rsidP="00D64EBF">
      <w:pPr>
        <w:pStyle w:val="bullets"/>
        <w:numPr>
          <w:ilvl w:val="1"/>
          <w:numId w:val="3"/>
        </w:numPr>
        <w:spacing w:after="160"/>
        <w:contextualSpacing w:val="0"/>
      </w:pPr>
      <w:r>
        <w:t>Will employers hold on-site vaccination clinics?</w:t>
      </w:r>
    </w:p>
    <w:p w14:paraId="162A6324" w14:textId="77777777" w:rsidR="00D64EBF" w:rsidRDefault="00D62638" w:rsidP="00D64EBF">
      <w:pPr>
        <w:pStyle w:val="bullets"/>
        <w:numPr>
          <w:ilvl w:val="1"/>
          <w:numId w:val="3"/>
        </w:numPr>
        <w:spacing w:after="160"/>
        <w:contextualSpacing w:val="0"/>
      </w:pPr>
      <w:r>
        <w:t>What vaccine, if more than one will be available on the market, will be used?</w:t>
      </w:r>
    </w:p>
    <w:p w14:paraId="732A15C6" w14:textId="77777777" w:rsidR="00D64EBF" w:rsidRDefault="00D62638" w:rsidP="00D64EBF">
      <w:pPr>
        <w:pStyle w:val="bullets"/>
        <w:numPr>
          <w:ilvl w:val="1"/>
          <w:numId w:val="3"/>
        </w:numPr>
        <w:spacing w:after="160"/>
        <w:contextualSpacing w:val="0"/>
      </w:pPr>
      <w:r>
        <w:t xml:space="preserve">Who will pay for the vaccine? </w:t>
      </w:r>
    </w:p>
    <w:p w14:paraId="30923887" w14:textId="77777777" w:rsidR="00D64EBF" w:rsidRDefault="00D62638" w:rsidP="00D64EBF">
      <w:pPr>
        <w:pStyle w:val="bullets"/>
        <w:numPr>
          <w:ilvl w:val="1"/>
          <w:numId w:val="3"/>
        </w:numPr>
        <w:spacing w:after="160"/>
        <w:contextualSpacing w:val="0"/>
      </w:pPr>
      <w:r>
        <w:t>Will the company require or cover the costs of vaccination for the employe</w:t>
      </w:r>
      <w:r w:rsidR="00967E6F">
        <w:t>e</w:t>
      </w:r>
      <w:r>
        <w:t xml:space="preserve">’s family? </w:t>
      </w:r>
    </w:p>
    <w:p w14:paraId="748F6696" w14:textId="77777777" w:rsidR="00D64EBF" w:rsidRDefault="00D62638" w:rsidP="0037048C">
      <w:pPr>
        <w:pStyle w:val="bullets"/>
        <w:numPr>
          <w:ilvl w:val="1"/>
          <w:numId w:val="3"/>
        </w:numPr>
        <w:spacing w:after="160"/>
        <w:contextualSpacing w:val="0"/>
      </w:pPr>
      <w:r>
        <w:t xml:space="preserve">How long after the vaccine becomes available must workers receive the vaccine, if vaccination is mandated? </w:t>
      </w:r>
    </w:p>
    <w:p w14:paraId="3C5F76A3" w14:textId="77777777" w:rsidR="00671CBC" w:rsidRPr="002D7AA1" w:rsidRDefault="00D62638" w:rsidP="00671CBC">
      <w:pPr>
        <w:pStyle w:val="body"/>
      </w:pPr>
      <w:r>
        <w:t xml:space="preserve">In addition to the considerations explained above, employers </w:t>
      </w:r>
      <w:r>
        <w:t xml:space="preserve">should consult legal counsel to determine whether there are unique risks to consider for their specific organization. </w:t>
      </w:r>
    </w:p>
    <w:p w14:paraId="355725A7" w14:textId="77777777" w:rsidR="00313F12" w:rsidRPr="00F615E4" w:rsidRDefault="00D62638" w:rsidP="00313F12">
      <w:pPr>
        <w:pStyle w:val="Heading1"/>
      </w:pPr>
      <w:r>
        <w:t>For More Information</w:t>
      </w:r>
    </w:p>
    <w:p w14:paraId="6B4C5AB9" w14:textId="77777777" w:rsidR="00313F12" w:rsidRDefault="00D62638" w:rsidP="00313F12">
      <w:pPr>
        <w:pStyle w:val="body"/>
      </w:pPr>
      <w:r>
        <w:t>Employers should begin discussions on the topic of COVID-19 vaccinations at their organization</w:t>
      </w:r>
      <w:r w:rsidR="00C31E31">
        <w:t xml:space="preserve"> today</w:t>
      </w:r>
      <w:r>
        <w:t xml:space="preserve">. Waiting until </w:t>
      </w:r>
      <w:r>
        <w:t xml:space="preserve">a COVID-19 vaccine is approved and readily available may leave employers open to overlooking important legal and logistic considerations. </w:t>
      </w:r>
    </w:p>
    <w:p w14:paraId="6B4149FD" w14:textId="77777777" w:rsidR="00EC6F54" w:rsidRPr="00052AFB" w:rsidRDefault="00D62638" w:rsidP="00313F12">
      <w:pPr>
        <w:spacing w:after="0"/>
        <w:rPr>
          <w:sz w:val="20"/>
          <w:szCs w:val="20"/>
        </w:rPr>
      </w:pPr>
      <w:r>
        <w:rPr>
          <w:sz w:val="20"/>
          <w:szCs w:val="20"/>
        </w:rPr>
        <w:t xml:space="preserve">For more information on </w:t>
      </w:r>
      <w:r w:rsidR="00671CBC">
        <w:rPr>
          <w:sz w:val="20"/>
          <w:szCs w:val="20"/>
        </w:rPr>
        <w:t>the COVID-19 pandemic and keeping the workforce safe</w:t>
      </w:r>
      <w:r>
        <w:rPr>
          <w:sz w:val="20"/>
          <w:szCs w:val="20"/>
        </w:rPr>
        <w:t>, contact Lipscomb &amp; Pitts Insurance, LLC</w:t>
      </w:r>
      <w:r>
        <w:rPr>
          <w:sz w:val="20"/>
          <w:szCs w:val="20"/>
        </w:rPr>
        <w:t xml:space="preserve"> today. </w:t>
      </w:r>
    </w:p>
    <w:sectPr w:rsidR="00EC6F54" w:rsidRPr="00052AFB" w:rsidSect="007C588E">
      <w:headerReference w:type="first" r:id="rId14"/>
      <w:footerReference w:type="first" r:id="rId15"/>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775A2" w14:textId="77777777" w:rsidR="00000000" w:rsidRDefault="00D62638">
      <w:pPr>
        <w:spacing w:after="0" w:line="240" w:lineRule="auto"/>
      </w:pPr>
      <w:r>
        <w:separator/>
      </w:r>
    </w:p>
  </w:endnote>
  <w:endnote w:type="continuationSeparator" w:id="0">
    <w:p w14:paraId="4A454E3F" w14:textId="77777777" w:rsidR="00000000" w:rsidRDefault="00D6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099D2" w14:textId="77777777" w:rsidR="005358F3" w:rsidRDefault="00D62638">
    <w:pPr>
      <w:pStyle w:val="Footer"/>
    </w:pPr>
    <w:r>
      <w:rPr>
        <w:noProof/>
      </w:rPr>
      <mc:AlternateContent>
        <mc:Choice Requires="wps">
          <w:drawing>
            <wp:anchor distT="0" distB="0" distL="114300" distR="114300" simplePos="0" relativeHeight="251658240" behindDoc="0" locked="0" layoutInCell="1" allowOverlap="1" wp14:anchorId="69416AC4" wp14:editId="0DA9BDE5">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04DC71B2" w14:textId="77777777" w:rsidR="005358F3" w:rsidRPr="00E027F6" w:rsidRDefault="00D62638"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180262CD"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9416AC4"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14:paraId="04DC71B2" w14:textId="77777777" w:rsidR="005358F3" w:rsidRPr="00E027F6" w:rsidRDefault="00D62638"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180262CD"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950D"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01883" w14:textId="77777777" w:rsidR="00000000" w:rsidRDefault="00D62638">
      <w:pPr>
        <w:spacing w:after="0" w:line="240" w:lineRule="auto"/>
      </w:pPr>
      <w:r>
        <w:separator/>
      </w:r>
    </w:p>
  </w:footnote>
  <w:footnote w:type="continuationSeparator" w:id="0">
    <w:p w14:paraId="5A1F2360" w14:textId="77777777" w:rsidR="00000000" w:rsidRDefault="00D62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F699" w14:textId="77777777" w:rsidR="005236A4" w:rsidRDefault="00D62638">
    <w:pPr>
      <w:pStyle w:val="Header"/>
    </w:pPr>
    <w:r>
      <w:rPr>
        <w:noProof/>
      </w:rPr>
      <w:drawing>
        <wp:anchor distT="0" distB="0" distL="114300" distR="114300" simplePos="0" relativeHeight="251662336" behindDoc="1" locked="0" layoutInCell="1" allowOverlap="1" wp14:anchorId="6467B21D" wp14:editId="7928F47F">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B3915" w14:textId="77777777" w:rsidR="005A3634" w:rsidRDefault="00D62638" w:rsidP="00772918">
    <w:pPr>
      <w:pStyle w:val="Header"/>
      <w:tabs>
        <w:tab w:val="clear" w:pos="9360"/>
      </w:tabs>
    </w:pPr>
    <w:r>
      <w:rPr>
        <w:noProof/>
      </w:rPr>
      <w:drawing>
        <wp:anchor distT="0" distB="0" distL="114300" distR="114300" simplePos="0" relativeHeight="251660288" behindDoc="1" locked="0" layoutInCell="1" allowOverlap="1" wp14:anchorId="3338B6E8" wp14:editId="21CDA50B">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754833"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7C031" w14:textId="77777777" w:rsidR="005A3634" w:rsidRDefault="00D62638" w:rsidP="00772918">
    <w:pPr>
      <w:pStyle w:val="Header"/>
      <w:tabs>
        <w:tab w:val="clear" w:pos="9360"/>
      </w:tabs>
    </w:pPr>
    <w:r>
      <w:rPr>
        <w:noProof/>
      </w:rPr>
      <w:drawing>
        <wp:anchor distT="0" distB="0" distL="114300" distR="114300" simplePos="0" relativeHeight="251661312" behindDoc="1" locked="0" layoutInCell="1" allowOverlap="1" wp14:anchorId="43E6A1C1" wp14:editId="01D83F5C">
          <wp:simplePos x="0" y="0"/>
          <wp:positionH relativeFrom="page">
            <wp:align>left</wp:align>
          </wp:positionH>
          <wp:positionV relativeFrom="paragraph">
            <wp:posOffset>-457200</wp:posOffset>
          </wp:positionV>
          <wp:extent cx="7772090" cy="10058400"/>
          <wp:effectExtent l="0" t="0" r="635" b="0"/>
          <wp:wrapNone/>
          <wp:docPr id="10643240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35550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F2A67304">
      <w:start w:val="1"/>
      <w:numFmt w:val="bullet"/>
      <w:lvlText w:val=""/>
      <w:lvlJc w:val="left"/>
      <w:pPr>
        <w:ind w:left="720" w:hanging="360"/>
      </w:pPr>
      <w:rPr>
        <w:rFonts w:ascii="Symbol" w:hAnsi="Symbol" w:hint="default"/>
      </w:rPr>
    </w:lvl>
    <w:lvl w:ilvl="1" w:tplc="D9FAC4B2" w:tentative="1">
      <w:start w:val="1"/>
      <w:numFmt w:val="bullet"/>
      <w:lvlText w:val="o"/>
      <w:lvlJc w:val="left"/>
      <w:pPr>
        <w:ind w:left="1440" w:hanging="360"/>
      </w:pPr>
      <w:rPr>
        <w:rFonts w:ascii="Courier New" w:hAnsi="Courier New" w:cs="Courier New" w:hint="default"/>
      </w:rPr>
    </w:lvl>
    <w:lvl w:ilvl="2" w:tplc="51EC402E" w:tentative="1">
      <w:start w:val="1"/>
      <w:numFmt w:val="bullet"/>
      <w:lvlText w:val=""/>
      <w:lvlJc w:val="left"/>
      <w:pPr>
        <w:ind w:left="2160" w:hanging="360"/>
      </w:pPr>
      <w:rPr>
        <w:rFonts w:ascii="Wingdings" w:hAnsi="Wingdings" w:hint="default"/>
      </w:rPr>
    </w:lvl>
    <w:lvl w:ilvl="3" w:tplc="7D7094F6" w:tentative="1">
      <w:start w:val="1"/>
      <w:numFmt w:val="bullet"/>
      <w:lvlText w:val=""/>
      <w:lvlJc w:val="left"/>
      <w:pPr>
        <w:ind w:left="2880" w:hanging="360"/>
      </w:pPr>
      <w:rPr>
        <w:rFonts w:ascii="Symbol" w:hAnsi="Symbol" w:hint="default"/>
      </w:rPr>
    </w:lvl>
    <w:lvl w:ilvl="4" w:tplc="363E5090" w:tentative="1">
      <w:start w:val="1"/>
      <w:numFmt w:val="bullet"/>
      <w:lvlText w:val="o"/>
      <w:lvlJc w:val="left"/>
      <w:pPr>
        <w:ind w:left="3600" w:hanging="360"/>
      </w:pPr>
      <w:rPr>
        <w:rFonts w:ascii="Courier New" w:hAnsi="Courier New" w:cs="Courier New" w:hint="default"/>
      </w:rPr>
    </w:lvl>
    <w:lvl w:ilvl="5" w:tplc="FC2E39D0" w:tentative="1">
      <w:start w:val="1"/>
      <w:numFmt w:val="bullet"/>
      <w:lvlText w:val=""/>
      <w:lvlJc w:val="left"/>
      <w:pPr>
        <w:ind w:left="4320" w:hanging="360"/>
      </w:pPr>
      <w:rPr>
        <w:rFonts w:ascii="Wingdings" w:hAnsi="Wingdings" w:hint="default"/>
      </w:rPr>
    </w:lvl>
    <w:lvl w:ilvl="6" w:tplc="2E00432C" w:tentative="1">
      <w:start w:val="1"/>
      <w:numFmt w:val="bullet"/>
      <w:lvlText w:val=""/>
      <w:lvlJc w:val="left"/>
      <w:pPr>
        <w:ind w:left="5040" w:hanging="360"/>
      </w:pPr>
      <w:rPr>
        <w:rFonts w:ascii="Symbol" w:hAnsi="Symbol" w:hint="default"/>
      </w:rPr>
    </w:lvl>
    <w:lvl w:ilvl="7" w:tplc="5396FBF2" w:tentative="1">
      <w:start w:val="1"/>
      <w:numFmt w:val="bullet"/>
      <w:lvlText w:val="o"/>
      <w:lvlJc w:val="left"/>
      <w:pPr>
        <w:ind w:left="5760" w:hanging="360"/>
      </w:pPr>
      <w:rPr>
        <w:rFonts w:ascii="Courier New" w:hAnsi="Courier New" w:cs="Courier New" w:hint="default"/>
      </w:rPr>
    </w:lvl>
    <w:lvl w:ilvl="8" w:tplc="3C60BAA4"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EDF455BC">
      <w:start w:val="1"/>
      <w:numFmt w:val="bullet"/>
      <w:lvlText w:val=""/>
      <w:lvlJc w:val="left"/>
      <w:pPr>
        <w:ind w:left="720" w:hanging="360"/>
      </w:pPr>
      <w:rPr>
        <w:rFonts w:ascii="Symbol" w:hAnsi="Symbol" w:hint="default"/>
      </w:rPr>
    </w:lvl>
    <w:lvl w:ilvl="1" w:tplc="6CE29AD0" w:tentative="1">
      <w:start w:val="1"/>
      <w:numFmt w:val="bullet"/>
      <w:lvlText w:val="o"/>
      <w:lvlJc w:val="left"/>
      <w:pPr>
        <w:ind w:left="1440" w:hanging="360"/>
      </w:pPr>
      <w:rPr>
        <w:rFonts w:ascii="Courier New" w:hAnsi="Courier New" w:cs="Courier New" w:hint="default"/>
      </w:rPr>
    </w:lvl>
    <w:lvl w:ilvl="2" w:tplc="BF0237BE" w:tentative="1">
      <w:start w:val="1"/>
      <w:numFmt w:val="bullet"/>
      <w:lvlText w:val=""/>
      <w:lvlJc w:val="left"/>
      <w:pPr>
        <w:ind w:left="2160" w:hanging="360"/>
      </w:pPr>
      <w:rPr>
        <w:rFonts w:ascii="Wingdings" w:hAnsi="Wingdings" w:hint="default"/>
      </w:rPr>
    </w:lvl>
    <w:lvl w:ilvl="3" w:tplc="EAE846C4" w:tentative="1">
      <w:start w:val="1"/>
      <w:numFmt w:val="bullet"/>
      <w:lvlText w:val=""/>
      <w:lvlJc w:val="left"/>
      <w:pPr>
        <w:ind w:left="2880" w:hanging="360"/>
      </w:pPr>
      <w:rPr>
        <w:rFonts w:ascii="Symbol" w:hAnsi="Symbol" w:hint="default"/>
      </w:rPr>
    </w:lvl>
    <w:lvl w:ilvl="4" w:tplc="4EFA1C9A" w:tentative="1">
      <w:start w:val="1"/>
      <w:numFmt w:val="bullet"/>
      <w:lvlText w:val="o"/>
      <w:lvlJc w:val="left"/>
      <w:pPr>
        <w:ind w:left="3600" w:hanging="360"/>
      </w:pPr>
      <w:rPr>
        <w:rFonts w:ascii="Courier New" w:hAnsi="Courier New" w:cs="Courier New" w:hint="default"/>
      </w:rPr>
    </w:lvl>
    <w:lvl w:ilvl="5" w:tplc="9FD09406" w:tentative="1">
      <w:start w:val="1"/>
      <w:numFmt w:val="bullet"/>
      <w:lvlText w:val=""/>
      <w:lvlJc w:val="left"/>
      <w:pPr>
        <w:ind w:left="4320" w:hanging="360"/>
      </w:pPr>
      <w:rPr>
        <w:rFonts w:ascii="Wingdings" w:hAnsi="Wingdings" w:hint="default"/>
      </w:rPr>
    </w:lvl>
    <w:lvl w:ilvl="6" w:tplc="3B52437A" w:tentative="1">
      <w:start w:val="1"/>
      <w:numFmt w:val="bullet"/>
      <w:lvlText w:val=""/>
      <w:lvlJc w:val="left"/>
      <w:pPr>
        <w:ind w:left="5040" w:hanging="360"/>
      </w:pPr>
      <w:rPr>
        <w:rFonts w:ascii="Symbol" w:hAnsi="Symbol" w:hint="default"/>
      </w:rPr>
    </w:lvl>
    <w:lvl w:ilvl="7" w:tplc="0A18A6A4" w:tentative="1">
      <w:start w:val="1"/>
      <w:numFmt w:val="bullet"/>
      <w:lvlText w:val="o"/>
      <w:lvlJc w:val="left"/>
      <w:pPr>
        <w:ind w:left="5760" w:hanging="360"/>
      </w:pPr>
      <w:rPr>
        <w:rFonts w:ascii="Courier New" w:hAnsi="Courier New" w:cs="Courier New" w:hint="default"/>
      </w:rPr>
    </w:lvl>
    <w:lvl w:ilvl="8" w:tplc="8A1CD96E"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1E26D0E"/>
    <w:multiLevelType w:val="hybridMultilevel"/>
    <w:tmpl w:val="F20A2BD2"/>
    <w:lvl w:ilvl="0" w:tplc="5224B5EE">
      <w:start w:val="1"/>
      <w:numFmt w:val="bullet"/>
      <w:lvlText w:val=""/>
      <w:lvlJc w:val="left"/>
      <w:pPr>
        <w:ind w:left="720" w:hanging="360"/>
      </w:pPr>
      <w:rPr>
        <w:rFonts w:ascii="Symbol" w:hAnsi="Symbol" w:hint="default"/>
      </w:rPr>
    </w:lvl>
    <w:lvl w:ilvl="1" w:tplc="EA36B696" w:tentative="1">
      <w:start w:val="1"/>
      <w:numFmt w:val="bullet"/>
      <w:lvlText w:val="o"/>
      <w:lvlJc w:val="left"/>
      <w:pPr>
        <w:ind w:left="1440" w:hanging="360"/>
      </w:pPr>
      <w:rPr>
        <w:rFonts w:ascii="Courier New" w:hAnsi="Courier New" w:cs="Courier New" w:hint="default"/>
      </w:rPr>
    </w:lvl>
    <w:lvl w:ilvl="2" w:tplc="264ED7B2" w:tentative="1">
      <w:start w:val="1"/>
      <w:numFmt w:val="bullet"/>
      <w:lvlText w:val=""/>
      <w:lvlJc w:val="left"/>
      <w:pPr>
        <w:ind w:left="2160" w:hanging="360"/>
      </w:pPr>
      <w:rPr>
        <w:rFonts w:ascii="Wingdings" w:hAnsi="Wingdings" w:hint="default"/>
      </w:rPr>
    </w:lvl>
    <w:lvl w:ilvl="3" w:tplc="763AF40C" w:tentative="1">
      <w:start w:val="1"/>
      <w:numFmt w:val="bullet"/>
      <w:lvlText w:val=""/>
      <w:lvlJc w:val="left"/>
      <w:pPr>
        <w:ind w:left="2880" w:hanging="360"/>
      </w:pPr>
      <w:rPr>
        <w:rFonts w:ascii="Symbol" w:hAnsi="Symbol" w:hint="default"/>
      </w:rPr>
    </w:lvl>
    <w:lvl w:ilvl="4" w:tplc="27DECA8E" w:tentative="1">
      <w:start w:val="1"/>
      <w:numFmt w:val="bullet"/>
      <w:lvlText w:val="o"/>
      <w:lvlJc w:val="left"/>
      <w:pPr>
        <w:ind w:left="3600" w:hanging="360"/>
      </w:pPr>
      <w:rPr>
        <w:rFonts w:ascii="Courier New" w:hAnsi="Courier New" w:cs="Courier New" w:hint="default"/>
      </w:rPr>
    </w:lvl>
    <w:lvl w:ilvl="5" w:tplc="67BC118E" w:tentative="1">
      <w:start w:val="1"/>
      <w:numFmt w:val="bullet"/>
      <w:lvlText w:val=""/>
      <w:lvlJc w:val="left"/>
      <w:pPr>
        <w:ind w:left="4320" w:hanging="360"/>
      </w:pPr>
      <w:rPr>
        <w:rFonts w:ascii="Wingdings" w:hAnsi="Wingdings" w:hint="default"/>
      </w:rPr>
    </w:lvl>
    <w:lvl w:ilvl="6" w:tplc="E216EB5E" w:tentative="1">
      <w:start w:val="1"/>
      <w:numFmt w:val="bullet"/>
      <w:lvlText w:val=""/>
      <w:lvlJc w:val="left"/>
      <w:pPr>
        <w:ind w:left="5040" w:hanging="360"/>
      </w:pPr>
      <w:rPr>
        <w:rFonts w:ascii="Symbol" w:hAnsi="Symbol" w:hint="default"/>
      </w:rPr>
    </w:lvl>
    <w:lvl w:ilvl="7" w:tplc="2B7E07B8" w:tentative="1">
      <w:start w:val="1"/>
      <w:numFmt w:val="bullet"/>
      <w:lvlText w:val="o"/>
      <w:lvlJc w:val="left"/>
      <w:pPr>
        <w:ind w:left="5760" w:hanging="360"/>
      </w:pPr>
      <w:rPr>
        <w:rFonts w:ascii="Courier New" w:hAnsi="Courier New" w:cs="Courier New" w:hint="default"/>
      </w:rPr>
    </w:lvl>
    <w:lvl w:ilvl="8" w:tplc="5A305C80" w:tentative="1">
      <w:start w:val="1"/>
      <w:numFmt w:val="bullet"/>
      <w:lvlText w:val=""/>
      <w:lvlJc w:val="left"/>
      <w:pPr>
        <w:ind w:left="6480" w:hanging="360"/>
      </w:pPr>
      <w:rPr>
        <w:rFonts w:ascii="Wingdings" w:hAnsi="Wingdings" w:hint="default"/>
      </w:rPr>
    </w:lvl>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68AAA82C"/>
    <w:lvl w:ilvl="0">
      <w:start w:val="1"/>
      <w:numFmt w:val="bullet"/>
      <w:pStyle w:val="bullets"/>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color w:val="auto"/>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AB86C588">
      <w:start w:val="1"/>
      <w:numFmt w:val="bullet"/>
      <w:lvlText w:val=""/>
      <w:lvlJc w:val="left"/>
      <w:pPr>
        <w:ind w:left="720" w:hanging="360"/>
      </w:pPr>
      <w:rPr>
        <w:rFonts w:ascii="Symbol" w:hAnsi="Symbol" w:hint="default"/>
      </w:rPr>
    </w:lvl>
    <w:lvl w:ilvl="1" w:tplc="816A2762" w:tentative="1">
      <w:start w:val="1"/>
      <w:numFmt w:val="bullet"/>
      <w:lvlText w:val="o"/>
      <w:lvlJc w:val="left"/>
      <w:pPr>
        <w:ind w:left="1440" w:hanging="360"/>
      </w:pPr>
      <w:rPr>
        <w:rFonts w:ascii="Courier New" w:hAnsi="Courier New" w:cs="Courier New" w:hint="default"/>
      </w:rPr>
    </w:lvl>
    <w:lvl w:ilvl="2" w:tplc="57024B1A" w:tentative="1">
      <w:start w:val="1"/>
      <w:numFmt w:val="bullet"/>
      <w:lvlText w:val=""/>
      <w:lvlJc w:val="left"/>
      <w:pPr>
        <w:ind w:left="2160" w:hanging="360"/>
      </w:pPr>
      <w:rPr>
        <w:rFonts w:ascii="Wingdings" w:hAnsi="Wingdings" w:hint="default"/>
      </w:rPr>
    </w:lvl>
    <w:lvl w:ilvl="3" w:tplc="765C0188" w:tentative="1">
      <w:start w:val="1"/>
      <w:numFmt w:val="bullet"/>
      <w:lvlText w:val=""/>
      <w:lvlJc w:val="left"/>
      <w:pPr>
        <w:ind w:left="2880" w:hanging="360"/>
      </w:pPr>
      <w:rPr>
        <w:rFonts w:ascii="Symbol" w:hAnsi="Symbol" w:hint="default"/>
      </w:rPr>
    </w:lvl>
    <w:lvl w:ilvl="4" w:tplc="F53A76CC" w:tentative="1">
      <w:start w:val="1"/>
      <w:numFmt w:val="bullet"/>
      <w:lvlText w:val="o"/>
      <w:lvlJc w:val="left"/>
      <w:pPr>
        <w:ind w:left="3600" w:hanging="360"/>
      </w:pPr>
      <w:rPr>
        <w:rFonts w:ascii="Courier New" w:hAnsi="Courier New" w:cs="Courier New" w:hint="default"/>
      </w:rPr>
    </w:lvl>
    <w:lvl w:ilvl="5" w:tplc="FB94E6A2" w:tentative="1">
      <w:start w:val="1"/>
      <w:numFmt w:val="bullet"/>
      <w:lvlText w:val=""/>
      <w:lvlJc w:val="left"/>
      <w:pPr>
        <w:ind w:left="4320" w:hanging="360"/>
      </w:pPr>
      <w:rPr>
        <w:rFonts w:ascii="Wingdings" w:hAnsi="Wingdings" w:hint="default"/>
      </w:rPr>
    </w:lvl>
    <w:lvl w:ilvl="6" w:tplc="9352375C" w:tentative="1">
      <w:start w:val="1"/>
      <w:numFmt w:val="bullet"/>
      <w:lvlText w:val=""/>
      <w:lvlJc w:val="left"/>
      <w:pPr>
        <w:ind w:left="5040" w:hanging="360"/>
      </w:pPr>
      <w:rPr>
        <w:rFonts w:ascii="Symbol" w:hAnsi="Symbol" w:hint="default"/>
      </w:rPr>
    </w:lvl>
    <w:lvl w:ilvl="7" w:tplc="4B6E40EC" w:tentative="1">
      <w:start w:val="1"/>
      <w:numFmt w:val="bullet"/>
      <w:lvlText w:val="o"/>
      <w:lvlJc w:val="left"/>
      <w:pPr>
        <w:ind w:left="5760" w:hanging="360"/>
      </w:pPr>
      <w:rPr>
        <w:rFonts w:ascii="Courier New" w:hAnsi="Courier New" w:cs="Courier New" w:hint="default"/>
      </w:rPr>
    </w:lvl>
    <w:lvl w:ilvl="8" w:tplc="2326C1C6"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0D8"/>
    <w:rsid w:val="000106B8"/>
    <w:rsid w:val="000209B4"/>
    <w:rsid w:val="00023E01"/>
    <w:rsid w:val="00052AFB"/>
    <w:rsid w:val="00054747"/>
    <w:rsid w:val="000B034E"/>
    <w:rsid w:val="000C5757"/>
    <w:rsid w:val="000E21E1"/>
    <w:rsid w:val="0010514E"/>
    <w:rsid w:val="001244F7"/>
    <w:rsid w:val="00126F7F"/>
    <w:rsid w:val="0017332D"/>
    <w:rsid w:val="00181550"/>
    <w:rsid w:val="001826D5"/>
    <w:rsid w:val="00192D3B"/>
    <w:rsid w:val="00194F75"/>
    <w:rsid w:val="00202BEC"/>
    <w:rsid w:val="002067D0"/>
    <w:rsid w:val="00216EF6"/>
    <w:rsid w:val="002445DC"/>
    <w:rsid w:val="002606B0"/>
    <w:rsid w:val="00275A14"/>
    <w:rsid w:val="002A022B"/>
    <w:rsid w:val="002A0EB6"/>
    <w:rsid w:val="002B6BB1"/>
    <w:rsid w:val="002C59C3"/>
    <w:rsid w:val="002D0EC4"/>
    <w:rsid w:val="002D7AA1"/>
    <w:rsid w:val="00312E69"/>
    <w:rsid w:val="00313F12"/>
    <w:rsid w:val="00320BA5"/>
    <w:rsid w:val="003427A1"/>
    <w:rsid w:val="00360C17"/>
    <w:rsid w:val="0037048C"/>
    <w:rsid w:val="00387B8C"/>
    <w:rsid w:val="003902EF"/>
    <w:rsid w:val="003B4B47"/>
    <w:rsid w:val="003C2C75"/>
    <w:rsid w:val="003D7C33"/>
    <w:rsid w:val="003E63B6"/>
    <w:rsid w:val="004063A5"/>
    <w:rsid w:val="004106C3"/>
    <w:rsid w:val="00421CD2"/>
    <w:rsid w:val="00430F6E"/>
    <w:rsid w:val="004338CD"/>
    <w:rsid w:val="00464114"/>
    <w:rsid w:val="004A43F6"/>
    <w:rsid w:val="004A6551"/>
    <w:rsid w:val="004C342C"/>
    <w:rsid w:val="004C4940"/>
    <w:rsid w:val="004F2798"/>
    <w:rsid w:val="005064AF"/>
    <w:rsid w:val="005236A4"/>
    <w:rsid w:val="005358F3"/>
    <w:rsid w:val="00543480"/>
    <w:rsid w:val="00572E65"/>
    <w:rsid w:val="005745CA"/>
    <w:rsid w:val="00575910"/>
    <w:rsid w:val="00577195"/>
    <w:rsid w:val="0059015E"/>
    <w:rsid w:val="00594D43"/>
    <w:rsid w:val="005A3634"/>
    <w:rsid w:val="005B30DA"/>
    <w:rsid w:val="00625D45"/>
    <w:rsid w:val="00644F4A"/>
    <w:rsid w:val="00646900"/>
    <w:rsid w:val="00671CBC"/>
    <w:rsid w:val="00684042"/>
    <w:rsid w:val="00697206"/>
    <w:rsid w:val="006A6951"/>
    <w:rsid w:val="006D20D0"/>
    <w:rsid w:val="006D2D71"/>
    <w:rsid w:val="006E3811"/>
    <w:rsid w:val="00734638"/>
    <w:rsid w:val="00747EB0"/>
    <w:rsid w:val="00756035"/>
    <w:rsid w:val="00770265"/>
    <w:rsid w:val="00772918"/>
    <w:rsid w:val="007878AD"/>
    <w:rsid w:val="0079281B"/>
    <w:rsid w:val="00794098"/>
    <w:rsid w:val="007A0E0E"/>
    <w:rsid w:val="007C588E"/>
    <w:rsid w:val="007D1ABD"/>
    <w:rsid w:val="007E68C8"/>
    <w:rsid w:val="007F6CA5"/>
    <w:rsid w:val="008036C6"/>
    <w:rsid w:val="0081197A"/>
    <w:rsid w:val="00814438"/>
    <w:rsid w:val="00817072"/>
    <w:rsid w:val="008244E9"/>
    <w:rsid w:val="00825F79"/>
    <w:rsid w:val="00867846"/>
    <w:rsid w:val="008A4CAA"/>
    <w:rsid w:val="008A7236"/>
    <w:rsid w:val="008C0AAA"/>
    <w:rsid w:val="008C5AD5"/>
    <w:rsid w:val="008D049C"/>
    <w:rsid w:val="008F034D"/>
    <w:rsid w:val="008F3DBF"/>
    <w:rsid w:val="00926090"/>
    <w:rsid w:val="0094348D"/>
    <w:rsid w:val="00946B54"/>
    <w:rsid w:val="00962BC8"/>
    <w:rsid w:val="009654A5"/>
    <w:rsid w:val="00967E6F"/>
    <w:rsid w:val="009B6E7B"/>
    <w:rsid w:val="009E28BF"/>
    <w:rsid w:val="009F493C"/>
    <w:rsid w:val="00A04C15"/>
    <w:rsid w:val="00A26DB3"/>
    <w:rsid w:val="00A34DC9"/>
    <w:rsid w:val="00A9296E"/>
    <w:rsid w:val="00AB6C62"/>
    <w:rsid w:val="00AC55E8"/>
    <w:rsid w:val="00AE2DE3"/>
    <w:rsid w:val="00AE614B"/>
    <w:rsid w:val="00B11423"/>
    <w:rsid w:val="00B120C3"/>
    <w:rsid w:val="00B510D8"/>
    <w:rsid w:val="00B5695E"/>
    <w:rsid w:val="00B63CCF"/>
    <w:rsid w:val="00B84C63"/>
    <w:rsid w:val="00BD440E"/>
    <w:rsid w:val="00BF77A6"/>
    <w:rsid w:val="00C01F0F"/>
    <w:rsid w:val="00C1448B"/>
    <w:rsid w:val="00C15712"/>
    <w:rsid w:val="00C2018D"/>
    <w:rsid w:val="00C21711"/>
    <w:rsid w:val="00C31E31"/>
    <w:rsid w:val="00C74837"/>
    <w:rsid w:val="00C823D9"/>
    <w:rsid w:val="00C92365"/>
    <w:rsid w:val="00CA7B5E"/>
    <w:rsid w:val="00CE3F5F"/>
    <w:rsid w:val="00D37E4D"/>
    <w:rsid w:val="00D62638"/>
    <w:rsid w:val="00D643C5"/>
    <w:rsid w:val="00D64EBF"/>
    <w:rsid w:val="00D7046A"/>
    <w:rsid w:val="00DD64A5"/>
    <w:rsid w:val="00DF4020"/>
    <w:rsid w:val="00E027F6"/>
    <w:rsid w:val="00E16A12"/>
    <w:rsid w:val="00E34160"/>
    <w:rsid w:val="00E44C19"/>
    <w:rsid w:val="00E933CD"/>
    <w:rsid w:val="00EA0B5C"/>
    <w:rsid w:val="00EC2F81"/>
    <w:rsid w:val="00EC4BF9"/>
    <w:rsid w:val="00EC6F54"/>
    <w:rsid w:val="00ED087A"/>
    <w:rsid w:val="00EE18F8"/>
    <w:rsid w:val="00F0547F"/>
    <w:rsid w:val="00F0744C"/>
    <w:rsid w:val="00F1334E"/>
    <w:rsid w:val="00F163B9"/>
    <w:rsid w:val="00F615E4"/>
    <w:rsid w:val="00F80083"/>
    <w:rsid w:val="00FB03F4"/>
    <w:rsid w:val="00FC5B9F"/>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CC2B"/>
  <w15:chartTrackingRefBased/>
  <w15:docId w15:val="{DDC2CDB4-8786-4AE2-918C-7EAFD0A2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Hyperlink">
    <w:name w:val="Hyperlink"/>
    <w:basedOn w:val="DefaultParagraphFont"/>
    <w:uiPriority w:val="99"/>
    <w:unhideWhenUsed/>
    <w:rsid w:val="00A26DB3"/>
    <w:rPr>
      <w:color w:val="0563C1" w:themeColor="hyperlink"/>
      <w:u w:val="single"/>
    </w:rPr>
  </w:style>
  <w:style w:type="character" w:customStyle="1" w:styleId="UnresolvedMention1">
    <w:name w:val="Unresolved Mention1"/>
    <w:basedOn w:val="DefaultParagraphFont"/>
    <w:uiPriority w:val="99"/>
    <w:semiHidden/>
    <w:unhideWhenUsed/>
    <w:rsid w:val="00A26DB3"/>
    <w:rPr>
      <w:color w:val="605E5C"/>
      <w:shd w:val="clear" w:color="auto" w:fill="E1DFDD"/>
    </w:rPr>
  </w:style>
  <w:style w:type="character" w:styleId="FollowedHyperlink">
    <w:name w:val="FollowedHyperlink"/>
    <w:basedOn w:val="DefaultParagraphFont"/>
    <w:uiPriority w:val="99"/>
    <w:semiHidden/>
    <w:unhideWhenUsed/>
    <w:rsid w:val="00C74837"/>
    <w:rPr>
      <w:color w:val="954F72" w:themeColor="followedHyperlink"/>
      <w:u w:val="single"/>
    </w:rPr>
  </w:style>
  <w:style w:type="character" w:styleId="CommentReference">
    <w:name w:val="annotation reference"/>
    <w:basedOn w:val="DefaultParagraphFont"/>
    <w:uiPriority w:val="99"/>
    <w:semiHidden/>
    <w:unhideWhenUsed/>
    <w:rsid w:val="00C31E31"/>
    <w:rPr>
      <w:sz w:val="16"/>
      <w:szCs w:val="16"/>
    </w:rPr>
  </w:style>
  <w:style w:type="paragraph" w:styleId="CommentSubject">
    <w:name w:val="annotation subject"/>
    <w:basedOn w:val="CommentText"/>
    <w:next w:val="CommentText"/>
    <w:link w:val="CommentSubjectChar"/>
    <w:uiPriority w:val="99"/>
    <w:semiHidden/>
    <w:unhideWhenUsed/>
    <w:rsid w:val="00C31E31"/>
    <w:pPr>
      <w:spacing w:line="240" w:lineRule="auto"/>
    </w:pPr>
    <w:rPr>
      <w:b/>
      <w:bCs/>
    </w:rPr>
  </w:style>
  <w:style w:type="character" w:customStyle="1" w:styleId="CommentSubjectChar">
    <w:name w:val="Comment Subject Char"/>
    <w:basedOn w:val="CommentTextChar"/>
    <w:link w:val="CommentSubject"/>
    <w:uiPriority w:val="99"/>
    <w:semiHidden/>
    <w:rsid w:val="00C31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eoc.gov/laws/guidance/pandemic-preparedness-workplace-and-americans-disabilities-act" TargetMode="External"/><Relationship Id="rId4" Type="http://schemas.openxmlformats.org/officeDocument/2006/relationships/settings" Target="settings.xml"/><Relationship Id="rId9" Type="http://schemas.openxmlformats.org/officeDocument/2006/relationships/hyperlink" Target="https://www.osha.gov/laws-regs/standardinterpretations/2009-11-09"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758E-D661-4F08-B5B8-F8B4D526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Sarah Gillespie</cp:lastModifiedBy>
  <cp:revision>2</cp:revision>
  <cp:lastPrinted>2018-11-01T13:58:00Z</cp:lastPrinted>
  <dcterms:created xsi:type="dcterms:W3CDTF">2020-12-10T17:42:00Z</dcterms:created>
  <dcterms:modified xsi:type="dcterms:W3CDTF">2020-12-10T17:42:00Z</dcterms:modified>
</cp:coreProperties>
</file>