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01E51B" w14:textId="055B813A" w:rsidR="00821398" w:rsidRPr="00E52EDC" w:rsidRDefault="00821398" w:rsidP="003F3B23">
      <w:pPr>
        <w:rPr>
          <w:rFonts w:ascii="Arial" w:hAnsi="Arial" w:cs="Arial"/>
        </w:rPr>
      </w:pPr>
      <w:bookmarkStart w:id="0" w:name="_GoBack"/>
      <w:bookmarkEnd w:id="0"/>
      <w:r w:rsidRPr="00E52EDC">
        <w:rPr>
          <w:rFonts w:ascii="Arial" w:hAnsi="Arial" w:cs="Arial"/>
          <w:noProof/>
        </w:rPr>
        <w:drawing>
          <wp:anchor distT="0" distB="0" distL="114300" distR="114300" simplePos="0" relativeHeight="251658240" behindDoc="0" locked="0" layoutInCell="1" allowOverlap="1" wp14:anchorId="7B3CF06E" wp14:editId="6939728E">
            <wp:simplePos x="0" y="0"/>
            <wp:positionH relativeFrom="page">
              <wp:posOffset>-101600</wp:posOffset>
            </wp:positionH>
            <wp:positionV relativeFrom="paragraph">
              <wp:posOffset>-914400</wp:posOffset>
            </wp:positionV>
            <wp:extent cx="7888554" cy="3619500"/>
            <wp:effectExtent l="0" t="0" r="0" b="0"/>
            <wp:wrapNone/>
            <wp:docPr id="1" name="Picture 1" descr="A person standing in fron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CM Alert New.png"/>
                    <pic:cNvPicPr/>
                  </pic:nvPicPr>
                  <pic:blipFill>
                    <a:blip r:embed="rId11">
                      <a:extLst>
                        <a:ext uri="{28A0092B-C50C-407E-A947-70E740481C1C}">
                          <a14:useLocalDpi xmlns:a14="http://schemas.microsoft.com/office/drawing/2010/main" val="0"/>
                        </a:ext>
                      </a:extLst>
                    </a:blip>
                    <a:stretch>
                      <a:fillRect/>
                    </a:stretch>
                  </pic:blipFill>
                  <pic:spPr>
                    <a:xfrm>
                      <a:off x="0" y="0"/>
                      <a:ext cx="7890254" cy="3620280"/>
                    </a:xfrm>
                    <a:prstGeom prst="rect">
                      <a:avLst/>
                    </a:prstGeom>
                  </pic:spPr>
                </pic:pic>
              </a:graphicData>
            </a:graphic>
            <wp14:sizeRelH relativeFrom="margin">
              <wp14:pctWidth>0</wp14:pctWidth>
            </wp14:sizeRelH>
            <wp14:sizeRelV relativeFrom="margin">
              <wp14:pctHeight>0</wp14:pctHeight>
            </wp14:sizeRelV>
          </wp:anchor>
        </w:drawing>
      </w:r>
    </w:p>
    <w:p w14:paraId="2A7376E8" w14:textId="50847273" w:rsidR="00821398" w:rsidRPr="00E52EDC" w:rsidRDefault="00821398" w:rsidP="003F3B23">
      <w:pPr>
        <w:rPr>
          <w:rFonts w:ascii="Arial" w:hAnsi="Arial" w:cs="Arial"/>
        </w:rPr>
      </w:pPr>
    </w:p>
    <w:p w14:paraId="25B20FD0" w14:textId="3A8DCE54" w:rsidR="00821398" w:rsidRPr="00E52EDC" w:rsidRDefault="00821398" w:rsidP="003F3B23">
      <w:pPr>
        <w:rPr>
          <w:rFonts w:ascii="Arial" w:hAnsi="Arial" w:cs="Arial"/>
        </w:rPr>
      </w:pPr>
      <w:bookmarkStart w:id="1" w:name="_Hlk34395496"/>
      <w:bookmarkEnd w:id="1"/>
    </w:p>
    <w:p w14:paraId="3D7D29D9" w14:textId="103FCA17" w:rsidR="00821398" w:rsidRPr="00E52EDC" w:rsidRDefault="00821398" w:rsidP="003F3B23">
      <w:pPr>
        <w:rPr>
          <w:rFonts w:ascii="Arial" w:hAnsi="Arial" w:cs="Arial"/>
        </w:rPr>
      </w:pPr>
    </w:p>
    <w:p w14:paraId="792BF12A" w14:textId="2493B749" w:rsidR="00821398" w:rsidRPr="00E52EDC" w:rsidRDefault="00821398" w:rsidP="003F3B23">
      <w:pPr>
        <w:rPr>
          <w:rFonts w:ascii="Arial" w:hAnsi="Arial" w:cs="Arial"/>
        </w:rPr>
      </w:pPr>
    </w:p>
    <w:p w14:paraId="331188C8" w14:textId="5C6261D7" w:rsidR="00821398" w:rsidRPr="00E52EDC" w:rsidRDefault="00821398" w:rsidP="003F3B23">
      <w:pPr>
        <w:rPr>
          <w:rFonts w:ascii="Arial" w:hAnsi="Arial" w:cs="Arial"/>
        </w:rPr>
      </w:pPr>
    </w:p>
    <w:p w14:paraId="57D202A0" w14:textId="18FB010B" w:rsidR="00821398" w:rsidRPr="00E52EDC" w:rsidRDefault="00821398" w:rsidP="003F3B23">
      <w:pPr>
        <w:rPr>
          <w:rFonts w:ascii="Arial" w:hAnsi="Arial" w:cs="Arial"/>
        </w:rPr>
      </w:pPr>
    </w:p>
    <w:p w14:paraId="6E55D679" w14:textId="18080A31" w:rsidR="00821398" w:rsidRPr="00E52EDC" w:rsidRDefault="00821398" w:rsidP="003F3B23">
      <w:pPr>
        <w:rPr>
          <w:rFonts w:ascii="Arial" w:hAnsi="Arial" w:cs="Arial"/>
        </w:rPr>
      </w:pPr>
    </w:p>
    <w:p w14:paraId="3F7AEF16" w14:textId="14FEE0FA" w:rsidR="00821398" w:rsidRPr="00E52EDC" w:rsidRDefault="00821398" w:rsidP="003F3B23">
      <w:pPr>
        <w:rPr>
          <w:rFonts w:ascii="Arial" w:hAnsi="Arial" w:cs="Arial"/>
        </w:rPr>
      </w:pPr>
    </w:p>
    <w:p w14:paraId="4097D404" w14:textId="4ED3E0C9" w:rsidR="00821398" w:rsidRPr="00E52EDC" w:rsidRDefault="00821398" w:rsidP="003F3B23">
      <w:pPr>
        <w:rPr>
          <w:rFonts w:ascii="Arial" w:hAnsi="Arial" w:cs="Arial"/>
        </w:rPr>
      </w:pPr>
    </w:p>
    <w:p w14:paraId="26D3C407" w14:textId="75F98639" w:rsidR="00821398" w:rsidRPr="003F3B23" w:rsidRDefault="007D0DD8" w:rsidP="003F3B23">
      <w:pPr>
        <w:spacing w:before="383"/>
        <w:ind w:left="990"/>
        <w:rPr>
          <w:rFonts w:ascii="Arial" w:hAnsi="Arial" w:cs="Arial"/>
          <w:bCs/>
          <w:color w:val="99C525"/>
          <w:sz w:val="48"/>
        </w:rPr>
      </w:pPr>
      <w:r>
        <w:rPr>
          <w:rFonts w:ascii="Arial" w:hAnsi="Arial" w:cs="Arial"/>
          <w:bCs/>
          <w:color w:val="99C525"/>
          <w:w w:val="105"/>
          <w:sz w:val="48"/>
        </w:rPr>
        <w:t>HCM Alert</w:t>
      </w:r>
    </w:p>
    <w:p w14:paraId="08E97F4C" w14:textId="5F70FE5A" w:rsidR="003F3B23" w:rsidRPr="003F3B23" w:rsidRDefault="003F3B23" w:rsidP="003F3B23">
      <w:pPr>
        <w:tabs>
          <w:tab w:val="left" w:pos="8460"/>
        </w:tabs>
        <w:spacing w:before="250" w:line="228" w:lineRule="auto"/>
        <w:ind w:left="990"/>
        <w:rPr>
          <w:rFonts w:ascii="Arial" w:hAnsi="Arial" w:cs="Arial"/>
          <w:b/>
          <w:color w:val="000000"/>
          <w:w w:val="110"/>
          <w:sz w:val="44"/>
        </w:rPr>
      </w:pPr>
      <w:r w:rsidRPr="003F3B23">
        <w:rPr>
          <w:rFonts w:ascii="Arial" w:hAnsi="Arial" w:cs="Arial"/>
          <w:b/>
          <w:color w:val="000000"/>
          <w:w w:val="110"/>
          <w:sz w:val="44"/>
        </w:rPr>
        <w:t>CARES Act:  Part 1</w:t>
      </w:r>
    </w:p>
    <w:p w14:paraId="0707EA03" w14:textId="77777777" w:rsidR="003F3B23" w:rsidRDefault="003F3B23" w:rsidP="003F3B23">
      <w:pPr>
        <w:spacing w:after="0" w:line="240" w:lineRule="auto"/>
        <w:ind w:left="994"/>
        <w:rPr>
          <w:rFonts w:ascii="Arial" w:hAnsi="Arial" w:cs="Arial"/>
          <w:b/>
          <w:color w:val="000000"/>
          <w:w w:val="110"/>
          <w:sz w:val="44"/>
        </w:rPr>
      </w:pPr>
      <w:r>
        <w:rPr>
          <w:rFonts w:ascii="Arial" w:hAnsi="Arial" w:cs="Arial"/>
          <w:b/>
          <w:color w:val="000000"/>
          <w:w w:val="110"/>
          <w:sz w:val="44"/>
        </w:rPr>
        <w:t xml:space="preserve">Tax-Free Student Loan </w:t>
      </w:r>
    </w:p>
    <w:p w14:paraId="2513FD04" w14:textId="249BC601" w:rsidR="00821398" w:rsidRPr="00E52EDC" w:rsidRDefault="003F3B23" w:rsidP="003F3B23">
      <w:pPr>
        <w:spacing w:after="0" w:line="240" w:lineRule="auto"/>
        <w:ind w:left="994"/>
        <w:rPr>
          <w:rFonts w:ascii="Arial" w:hAnsi="Arial" w:cs="Arial"/>
          <w:b/>
          <w:color w:val="000000"/>
          <w:w w:val="110"/>
          <w:sz w:val="44"/>
        </w:rPr>
      </w:pPr>
      <w:r>
        <w:rPr>
          <w:rFonts w:ascii="Arial" w:hAnsi="Arial" w:cs="Arial"/>
          <w:b/>
          <w:color w:val="000000"/>
          <w:w w:val="110"/>
          <w:sz w:val="44"/>
        </w:rPr>
        <w:t>Repayment Plans</w:t>
      </w:r>
    </w:p>
    <w:p w14:paraId="75A49EA2" w14:textId="77777777" w:rsidR="004B1982" w:rsidRPr="00E52EDC" w:rsidRDefault="004B1982" w:rsidP="003F3B23">
      <w:pPr>
        <w:ind w:left="990"/>
        <w:rPr>
          <w:rFonts w:ascii="Arial" w:hAnsi="Arial" w:cs="Arial"/>
          <w:color w:val="000000"/>
          <w:spacing w:val="-7"/>
        </w:rPr>
      </w:pPr>
    </w:p>
    <w:p w14:paraId="4A880AE4" w14:textId="4E205091" w:rsidR="00B17DA9" w:rsidRPr="00E52EDC" w:rsidRDefault="003F3B23" w:rsidP="003F3B23">
      <w:pPr>
        <w:ind w:left="990"/>
        <w:rPr>
          <w:rFonts w:ascii="Arial" w:eastAsia="Calibri" w:hAnsi="Arial" w:cs="Arial"/>
          <w:color w:val="000000"/>
          <w:spacing w:val="-7"/>
        </w:rPr>
      </w:pPr>
      <w:r>
        <w:rPr>
          <w:rFonts w:ascii="Arial" w:hAnsi="Arial" w:cs="Arial"/>
          <w:color w:val="000000"/>
          <w:spacing w:val="-7"/>
        </w:rPr>
        <w:t>April 1</w:t>
      </w:r>
      <w:r w:rsidR="004B1982" w:rsidRPr="00E52EDC">
        <w:rPr>
          <w:rFonts w:ascii="Arial" w:hAnsi="Arial" w:cs="Arial"/>
          <w:color w:val="000000"/>
          <w:spacing w:val="-7"/>
        </w:rPr>
        <w:t>, 2020</w:t>
      </w:r>
      <w:r w:rsidR="00B17DA9" w:rsidRPr="00E52EDC">
        <w:rPr>
          <w:rFonts w:ascii="Arial" w:hAnsi="Arial" w:cs="Arial"/>
          <w:color w:val="000000"/>
          <w:spacing w:val="-7"/>
        </w:rPr>
        <w:br w:type="page"/>
      </w:r>
    </w:p>
    <w:p w14:paraId="360A035B" w14:textId="77777777" w:rsidR="003F3B23" w:rsidRPr="003F3B23" w:rsidRDefault="003F3B23" w:rsidP="003F3B23">
      <w:pPr>
        <w:spacing w:after="0" w:line="360" w:lineRule="auto"/>
        <w:rPr>
          <w:rFonts w:ascii="Arial" w:hAnsi="Arial" w:cs="Arial"/>
          <w:color w:val="99C525"/>
          <w:w w:val="105"/>
          <w:sz w:val="40"/>
          <w:szCs w:val="40"/>
        </w:rPr>
      </w:pPr>
      <w:bookmarkStart w:id="2" w:name="_Contributors"/>
      <w:bookmarkEnd w:id="2"/>
      <w:r w:rsidRPr="003F3B23">
        <w:rPr>
          <w:rFonts w:ascii="Arial" w:hAnsi="Arial" w:cs="Arial"/>
          <w:color w:val="99C525"/>
          <w:w w:val="105"/>
          <w:sz w:val="40"/>
          <w:szCs w:val="40"/>
        </w:rPr>
        <w:lastRenderedPageBreak/>
        <w:t>DID YOU KNOW?</w:t>
      </w:r>
    </w:p>
    <w:p w14:paraId="392F9074" w14:textId="77777777" w:rsidR="003F3B23" w:rsidRPr="003F3B23" w:rsidRDefault="003F3B23" w:rsidP="003F3B23">
      <w:pPr>
        <w:spacing w:after="0" w:line="360" w:lineRule="auto"/>
        <w:rPr>
          <w:rFonts w:ascii="Arial" w:hAnsi="Arial" w:cs="Arial"/>
          <w:w w:val="105"/>
        </w:rPr>
      </w:pPr>
      <w:r w:rsidRPr="003F3B23">
        <w:rPr>
          <w:rFonts w:ascii="Arial" w:hAnsi="Arial" w:cs="Arial"/>
          <w:w w:val="105"/>
        </w:rPr>
        <w:t xml:space="preserve"> </w:t>
      </w:r>
    </w:p>
    <w:p w14:paraId="70C5762C" w14:textId="7389F4EB" w:rsidR="003F3B23" w:rsidRPr="003F3B23" w:rsidRDefault="003F3B23" w:rsidP="003F3B23">
      <w:pPr>
        <w:spacing w:after="0" w:line="360" w:lineRule="auto"/>
        <w:rPr>
          <w:rFonts w:ascii="Arial" w:hAnsi="Arial" w:cs="Arial"/>
          <w:w w:val="105"/>
        </w:rPr>
      </w:pPr>
      <w:r w:rsidRPr="003F3B23">
        <w:rPr>
          <w:rFonts w:ascii="Arial" w:hAnsi="Arial" w:cs="Arial"/>
          <w:w w:val="105"/>
        </w:rPr>
        <w:t xml:space="preserve">On March 27, 2020 Congress passed </w:t>
      </w:r>
      <w:hyperlink r:id="rId12" w:history="1">
        <w:r w:rsidRPr="0023484D">
          <w:rPr>
            <w:rStyle w:val="Hyperlink"/>
            <w:rFonts w:ascii="Arial" w:hAnsi="Arial" w:cs="Arial"/>
            <w:color w:val="006EB7"/>
            <w:w w:val="105"/>
          </w:rPr>
          <w:t>H. R. 748, (CARES Act)</w:t>
        </w:r>
      </w:hyperlink>
      <w:r w:rsidRPr="003F3B23">
        <w:rPr>
          <w:rFonts w:ascii="Arial" w:hAnsi="Arial" w:cs="Arial"/>
          <w:w w:val="105"/>
        </w:rPr>
        <w:t xml:space="preserve">, and President Trump signed it, making it a new law.  Called to be the “single-biggest economic relief package in American history,” the CARES Act amends the Internal Revenue Code (IRC) and is created to provide economic relief and stimulus to workers, families, and businesses of all sizes who are suffering from the effects of Coronavirus-19 (COVID-19). </w:t>
      </w:r>
    </w:p>
    <w:p w14:paraId="6253737D" w14:textId="77777777" w:rsidR="003F3B23" w:rsidRPr="003F3B23" w:rsidRDefault="003F3B23" w:rsidP="003F3B23">
      <w:pPr>
        <w:spacing w:after="0" w:line="360" w:lineRule="auto"/>
        <w:rPr>
          <w:rFonts w:ascii="Arial" w:hAnsi="Arial" w:cs="Arial"/>
          <w:w w:val="105"/>
        </w:rPr>
      </w:pPr>
    </w:p>
    <w:p w14:paraId="368265D7" w14:textId="77777777" w:rsidR="003F3B23" w:rsidRPr="003F3B23" w:rsidRDefault="003F3B23" w:rsidP="003F3B23">
      <w:pPr>
        <w:spacing w:after="0" w:line="360" w:lineRule="auto"/>
        <w:rPr>
          <w:rFonts w:ascii="Arial" w:hAnsi="Arial" w:cs="Arial"/>
          <w:w w:val="105"/>
        </w:rPr>
      </w:pPr>
      <w:r w:rsidRPr="003F3B23">
        <w:rPr>
          <w:rFonts w:ascii="Arial" w:hAnsi="Arial" w:cs="Arial"/>
          <w:w w:val="105"/>
        </w:rPr>
        <w:t>The CARES Act encompasses many provisions including:</w:t>
      </w:r>
    </w:p>
    <w:p w14:paraId="492B1661" w14:textId="77777777" w:rsidR="003F3B23" w:rsidRDefault="003F3B23" w:rsidP="003F3B23">
      <w:pPr>
        <w:pStyle w:val="ListParagraph"/>
        <w:numPr>
          <w:ilvl w:val="0"/>
          <w:numId w:val="10"/>
        </w:numPr>
        <w:spacing w:line="360" w:lineRule="auto"/>
        <w:rPr>
          <w:rFonts w:ascii="Arial" w:hAnsi="Arial" w:cs="Arial"/>
          <w:w w:val="105"/>
        </w:rPr>
      </w:pPr>
      <w:r w:rsidRPr="003F3B23">
        <w:rPr>
          <w:rFonts w:ascii="Arial" w:hAnsi="Arial" w:cs="Arial"/>
          <w:w w:val="105"/>
        </w:rPr>
        <w:t>Health and Welfare benefits expansions</w:t>
      </w:r>
    </w:p>
    <w:p w14:paraId="532E39EF" w14:textId="77777777" w:rsidR="003F3B23" w:rsidRDefault="003F3B23" w:rsidP="003F3B23">
      <w:pPr>
        <w:pStyle w:val="ListParagraph"/>
        <w:numPr>
          <w:ilvl w:val="0"/>
          <w:numId w:val="10"/>
        </w:numPr>
        <w:spacing w:line="360" w:lineRule="auto"/>
        <w:rPr>
          <w:rFonts w:ascii="Arial" w:hAnsi="Arial" w:cs="Arial"/>
          <w:w w:val="105"/>
        </w:rPr>
      </w:pPr>
      <w:r w:rsidRPr="003F3B23">
        <w:rPr>
          <w:rFonts w:ascii="Arial" w:hAnsi="Arial" w:cs="Arial"/>
          <w:w w:val="105"/>
        </w:rPr>
        <w:t>Retirement benefit expansions</w:t>
      </w:r>
    </w:p>
    <w:p w14:paraId="007F4A81" w14:textId="77777777" w:rsidR="003F3B23" w:rsidRDefault="003F3B23" w:rsidP="003F3B23">
      <w:pPr>
        <w:pStyle w:val="ListParagraph"/>
        <w:numPr>
          <w:ilvl w:val="0"/>
          <w:numId w:val="10"/>
        </w:numPr>
        <w:spacing w:line="360" w:lineRule="auto"/>
        <w:rPr>
          <w:rFonts w:ascii="Arial" w:hAnsi="Arial" w:cs="Arial"/>
          <w:w w:val="105"/>
        </w:rPr>
      </w:pPr>
      <w:r w:rsidRPr="003F3B23">
        <w:rPr>
          <w:rFonts w:ascii="Arial" w:hAnsi="Arial" w:cs="Arial"/>
          <w:w w:val="105"/>
        </w:rPr>
        <w:t xml:space="preserve">Unemployment Benefits expansion and </w:t>
      </w:r>
      <w:proofErr w:type="gramStart"/>
      <w:r w:rsidRPr="003F3B23">
        <w:rPr>
          <w:rFonts w:ascii="Arial" w:hAnsi="Arial" w:cs="Arial"/>
          <w:w w:val="105"/>
        </w:rPr>
        <w:t>tax  credits</w:t>
      </w:r>
      <w:proofErr w:type="gramEnd"/>
    </w:p>
    <w:p w14:paraId="682D4048" w14:textId="77777777" w:rsidR="003F3B23" w:rsidRDefault="003F3B23" w:rsidP="003F3B23">
      <w:pPr>
        <w:pStyle w:val="ListParagraph"/>
        <w:numPr>
          <w:ilvl w:val="0"/>
          <w:numId w:val="10"/>
        </w:numPr>
        <w:spacing w:line="360" w:lineRule="auto"/>
        <w:rPr>
          <w:rFonts w:ascii="Arial" w:hAnsi="Arial" w:cs="Arial"/>
          <w:w w:val="105"/>
        </w:rPr>
      </w:pPr>
      <w:r w:rsidRPr="003F3B23">
        <w:rPr>
          <w:rFonts w:ascii="Arial" w:hAnsi="Arial" w:cs="Arial"/>
          <w:w w:val="105"/>
        </w:rPr>
        <w:t xml:space="preserve">Individual tax credits </w:t>
      </w:r>
    </w:p>
    <w:p w14:paraId="549A462F" w14:textId="77777777" w:rsidR="003F3B23" w:rsidRDefault="003F3B23" w:rsidP="003F3B23">
      <w:pPr>
        <w:pStyle w:val="ListParagraph"/>
        <w:numPr>
          <w:ilvl w:val="0"/>
          <w:numId w:val="10"/>
        </w:numPr>
        <w:spacing w:line="360" w:lineRule="auto"/>
        <w:rPr>
          <w:rFonts w:ascii="Arial" w:hAnsi="Arial" w:cs="Arial"/>
          <w:w w:val="105"/>
        </w:rPr>
      </w:pPr>
      <w:r w:rsidRPr="003F3B23">
        <w:rPr>
          <w:rFonts w:ascii="Arial" w:hAnsi="Arial" w:cs="Arial"/>
          <w:w w:val="105"/>
        </w:rPr>
        <w:t>Social Security and payroll tax credits</w:t>
      </w:r>
    </w:p>
    <w:p w14:paraId="659A76DD" w14:textId="77777777" w:rsidR="003F3B23" w:rsidRDefault="003F3B23" w:rsidP="003F3B23">
      <w:pPr>
        <w:pStyle w:val="ListParagraph"/>
        <w:numPr>
          <w:ilvl w:val="0"/>
          <w:numId w:val="10"/>
        </w:numPr>
        <w:spacing w:line="360" w:lineRule="auto"/>
        <w:rPr>
          <w:rFonts w:ascii="Arial" w:hAnsi="Arial" w:cs="Arial"/>
          <w:w w:val="105"/>
        </w:rPr>
      </w:pPr>
      <w:r w:rsidRPr="003F3B23">
        <w:rPr>
          <w:rFonts w:ascii="Arial" w:hAnsi="Arial" w:cs="Arial"/>
          <w:w w:val="105"/>
        </w:rPr>
        <w:t>Small, Midsize, and Large Employers Business loans, including for non-profit and public entities</w:t>
      </w:r>
    </w:p>
    <w:p w14:paraId="2FA38B26" w14:textId="77777777" w:rsidR="003F3B23" w:rsidRPr="003F3B23" w:rsidRDefault="003F3B23" w:rsidP="003F3B23">
      <w:pPr>
        <w:pStyle w:val="ListParagraph"/>
        <w:numPr>
          <w:ilvl w:val="0"/>
          <w:numId w:val="10"/>
        </w:numPr>
        <w:spacing w:line="360" w:lineRule="auto"/>
        <w:rPr>
          <w:rFonts w:ascii="Arial" w:hAnsi="Arial" w:cs="Arial"/>
          <w:b/>
          <w:bCs/>
          <w:w w:val="105"/>
        </w:rPr>
      </w:pPr>
      <w:r w:rsidRPr="003F3B23">
        <w:rPr>
          <w:rFonts w:ascii="Arial" w:hAnsi="Arial" w:cs="Arial"/>
          <w:b/>
          <w:bCs/>
          <w:w w:val="105"/>
        </w:rPr>
        <w:t>Tax Free Student Loan Repayment Plans</w:t>
      </w:r>
    </w:p>
    <w:p w14:paraId="37DBFF00" w14:textId="7E44C76D" w:rsidR="003F3B23" w:rsidRPr="003F3B23" w:rsidRDefault="003F3B23" w:rsidP="003F3B23">
      <w:pPr>
        <w:pStyle w:val="ListParagraph"/>
        <w:numPr>
          <w:ilvl w:val="0"/>
          <w:numId w:val="10"/>
        </w:numPr>
        <w:spacing w:line="360" w:lineRule="auto"/>
        <w:rPr>
          <w:rFonts w:ascii="Arial" w:hAnsi="Arial" w:cs="Arial"/>
          <w:w w:val="105"/>
        </w:rPr>
      </w:pPr>
      <w:r w:rsidRPr="003F3B23">
        <w:rPr>
          <w:rFonts w:ascii="Arial" w:hAnsi="Arial" w:cs="Arial"/>
          <w:w w:val="105"/>
        </w:rPr>
        <w:t>Further Limitations on Paid Leave</w:t>
      </w:r>
    </w:p>
    <w:p w14:paraId="0DD27427" w14:textId="77777777" w:rsidR="003F3B23" w:rsidRPr="003F3B23" w:rsidRDefault="003F3B23" w:rsidP="003F3B23">
      <w:pPr>
        <w:spacing w:after="0" w:line="360" w:lineRule="auto"/>
        <w:rPr>
          <w:rFonts w:ascii="Arial" w:hAnsi="Arial" w:cs="Arial"/>
          <w:w w:val="105"/>
        </w:rPr>
      </w:pPr>
    </w:p>
    <w:p w14:paraId="5DBEA4C7" w14:textId="77777777" w:rsidR="003F3B23" w:rsidRPr="003F3B23" w:rsidRDefault="003F3B23" w:rsidP="003F3B23">
      <w:pPr>
        <w:spacing w:after="0" w:line="360" w:lineRule="auto"/>
        <w:rPr>
          <w:rFonts w:ascii="Arial" w:hAnsi="Arial" w:cs="Arial"/>
          <w:w w:val="105"/>
        </w:rPr>
      </w:pPr>
      <w:r w:rsidRPr="003F3B23">
        <w:rPr>
          <w:rFonts w:ascii="Arial" w:hAnsi="Arial" w:cs="Arial"/>
          <w:w w:val="105"/>
        </w:rPr>
        <w:t xml:space="preserve">While guidance will be forthcoming on the applicability of the various components of the CARES Act by the IRS, the Small Business Administration (SBA), the Department of Treasury, and the Department of Labor, this HCM Alert is the first in a series about the CARES Act. This alert addresses the Tax-Free Student Loan Repayment Plans under this Act. </w:t>
      </w:r>
    </w:p>
    <w:p w14:paraId="75C4515D" w14:textId="77777777" w:rsidR="003F3B23" w:rsidRPr="003F3B23" w:rsidRDefault="003F3B23" w:rsidP="003F3B23">
      <w:pPr>
        <w:spacing w:after="0" w:line="360" w:lineRule="auto"/>
        <w:rPr>
          <w:rFonts w:ascii="Arial" w:hAnsi="Arial" w:cs="Arial"/>
          <w:w w:val="105"/>
        </w:rPr>
      </w:pPr>
    </w:p>
    <w:p w14:paraId="07724C48" w14:textId="77777777" w:rsidR="003F3B23" w:rsidRPr="003F3B23" w:rsidRDefault="003F3B23" w:rsidP="003F3B23">
      <w:pPr>
        <w:spacing w:after="0" w:line="360" w:lineRule="auto"/>
        <w:rPr>
          <w:rFonts w:ascii="Arial" w:hAnsi="Arial" w:cs="Arial"/>
          <w:b/>
          <w:bCs/>
          <w:w w:val="105"/>
        </w:rPr>
      </w:pPr>
      <w:r w:rsidRPr="003F3B23">
        <w:rPr>
          <w:rFonts w:ascii="Arial" w:hAnsi="Arial" w:cs="Arial"/>
          <w:b/>
          <w:bCs/>
          <w:w w:val="105"/>
        </w:rPr>
        <w:t>Student Loan Repayment Plans</w:t>
      </w:r>
    </w:p>
    <w:p w14:paraId="46E5246C" w14:textId="09D55A19" w:rsidR="003F3B23" w:rsidRPr="003F3B23" w:rsidRDefault="003F3B23" w:rsidP="003F3B23">
      <w:pPr>
        <w:spacing w:after="0" w:line="360" w:lineRule="auto"/>
        <w:rPr>
          <w:rFonts w:ascii="Arial" w:hAnsi="Arial" w:cs="Arial"/>
          <w:w w:val="105"/>
        </w:rPr>
      </w:pPr>
      <w:r w:rsidRPr="003F3B23">
        <w:rPr>
          <w:rFonts w:ascii="Arial" w:hAnsi="Arial" w:cs="Arial"/>
          <w:w w:val="105"/>
        </w:rPr>
        <w:t xml:space="preserve">Since 2016 employers have turned their attention to developing plans to assist their employees in paying down their student loan debt. </w:t>
      </w:r>
      <w:hyperlink r:id="rId13" w:history="1">
        <w:r w:rsidRPr="0023484D">
          <w:rPr>
            <w:rStyle w:val="Hyperlink"/>
            <w:rFonts w:ascii="Arial" w:hAnsi="Arial" w:cs="Arial"/>
            <w:color w:val="006EB7"/>
            <w:w w:val="105"/>
          </w:rPr>
          <w:t>With debt continuing to rise</w:t>
        </w:r>
      </w:hyperlink>
      <w:r w:rsidRPr="003F3B23">
        <w:rPr>
          <w:rFonts w:ascii="Arial" w:hAnsi="Arial" w:cs="Arial"/>
          <w:w w:val="105"/>
        </w:rPr>
        <w:t xml:space="preserve">, 44.7 million U. S. borrowers with $1.56 trillion federal and $1.24.54 billion in private student loans for an average of $32,731.00 and student loan reimbursement plans have continued to be an advantageous program to offer for an employer’s ability to attract and retain employees. </w:t>
      </w:r>
    </w:p>
    <w:p w14:paraId="5FB31AE6" w14:textId="77777777" w:rsidR="003F3B23" w:rsidRPr="003F3B23" w:rsidRDefault="003F3B23" w:rsidP="003F3B23">
      <w:pPr>
        <w:spacing w:after="0" w:line="360" w:lineRule="auto"/>
        <w:rPr>
          <w:rFonts w:ascii="Arial" w:hAnsi="Arial" w:cs="Arial"/>
          <w:w w:val="105"/>
        </w:rPr>
      </w:pPr>
    </w:p>
    <w:p w14:paraId="751BD752" w14:textId="6AA4280D" w:rsidR="003F3B23" w:rsidRDefault="003F3B23" w:rsidP="003F3B23">
      <w:pPr>
        <w:spacing w:after="0" w:line="360" w:lineRule="auto"/>
        <w:rPr>
          <w:rFonts w:ascii="Arial" w:hAnsi="Arial" w:cs="Arial"/>
          <w:w w:val="105"/>
        </w:rPr>
      </w:pPr>
      <w:r w:rsidRPr="003F3B23">
        <w:rPr>
          <w:rFonts w:ascii="Arial" w:hAnsi="Arial" w:cs="Arial"/>
          <w:w w:val="105"/>
        </w:rPr>
        <w:lastRenderedPageBreak/>
        <w:t xml:space="preserve">Until the passage of the CARES Act, through an </w:t>
      </w:r>
      <w:hyperlink r:id="rId14" w:history="1">
        <w:r w:rsidRPr="0023484D">
          <w:rPr>
            <w:rStyle w:val="Hyperlink"/>
            <w:rFonts w:ascii="Arial" w:hAnsi="Arial" w:cs="Arial"/>
            <w:color w:val="006EB7"/>
            <w:w w:val="105"/>
          </w:rPr>
          <w:t>Employers Education Assistance program</w:t>
        </w:r>
      </w:hyperlink>
      <w:r w:rsidRPr="003F3B23">
        <w:rPr>
          <w:rFonts w:ascii="Arial" w:hAnsi="Arial" w:cs="Arial"/>
          <w:w w:val="105"/>
        </w:rPr>
        <w:t>, employers have been able to provide up to $5,250.00 annually in non-taxable income to employees for:</w:t>
      </w:r>
    </w:p>
    <w:p w14:paraId="6C2B638D" w14:textId="77777777" w:rsidR="003F3B23" w:rsidRDefault="003F3B23" w:rsidP="003F3B23">
      <w:pPr>
        <w:pStyle w:val="ListParagraph"/>
        <w:numPr>
          <w:ilvl w:val="0"/>
          <w:numId w:val="12"/>
        </w:numPr>
        <w:spacing w:line="360" w:lineRule="auto"/>
        <w:rPr>
          <w:rFonts w:ascii="Arial" w:hAnsi="Arial" w:cs="Arial"/>
          <w:w w:val="105"/>
        </w:rPr>
      </w:pPr>
      <w:r w:rsidRPr="003F3B23">
        <w:rPr>
          <w:rFonts w:ascii="Arial" w:hAnsi="Arial" w:cs="Arial"/>
          <w:w w:val="105"/>
        </w:rPr>
        <w:t>the payment, by an employer, of expenses incurred by or on behalf of an employee for education of the employee (including, but not limited to, tuition, fees, and similar payments, books, supplies, and equipment), and</w:t>
      </w:r>
    </w:p>
    <w:p w14:paraId="59758A9F" w14:textId="72EC3EA0" w:rsidR="003F3B23" w:rsidRPr="003F3B23" w:rsidRDefault="003F3B23" w:rsidP="003F3B23">
      <w:pPr>
        <w:pStyle w:val="ListParagraph"/>
        <w:numPr>
          <w:ilvl w:val="0"/>
          <w:numId w:val="12"/>
        </w:numPr>
        <w:spacing w:line="360" w:lineRule="auto"/>
        <w:rPr>
          <w:rFonts w:ascii="Arial" w:hAnsi="Arial" w:cs="Arial"/>
          <w:w w:val="105"/>
        </w:rPr>
      </w:pPr>
      <w:r w:rsidRPr="003F3B23">
        <w:rPr>
          <w:rFonts w:ascii="Arial" w:hAnsi="Arial" w:cs="Arial"/>
          <w:w w:val="105"/>
        </w:rPr>
        <w:t xml:space="preserve">the provision, by an employer, of courses of instruction for such employee (including books, supplies, and equipment), </w:t>
      </w:r>
    </w:p>
    <w:p w14:paraId="0D53D633" w14:textId="77777777" w:rsidR="003F3B23" w:rsidRPr="003F3B23" w:rsidRDefault="003F3B23" w:rsidP="003F3B23">
      <w:pPr>
        <w:spacing w:after="0" w:line="360" w:lineRule="auto"/>
        <w:rPr>
          <w:rFonts w:ascii="Arial" w:hAnsi="Arial" w:cs="Arial"/>
          <w:w w:val="105"/>
        </w:rPr>
      </w:pPr>
    </w:p>
    <w:p w14:paraId="644D0D3C" w14:textId="77777777" w:rsidR="003F3B23" w:rsidRPr="003F3B23" w:rsidRDefault="003F3B23" w:rsidP="003F3B23">
      <w:pPr>
        <w:spacing w:after="0" w:line="360" w:lineRule="auto"/>
        <w:rPr>
          <w:rFonts w:ascii="Arial" w:hAnsi="Arial" w:cs="Arial"/>
          <w:w w:val="105"/>
        </w:rPr>
      </w:pPr>
      <w:r w:rsidRPr="003F3B23">
        <w:rPr>
          <w:rFonts w:ascii="Arial" w:hAnsi="Arial" w:cs="Arial"/>
          <w:w w:val="105"/>
        </w:rPr>
        <w:t>but not including payment for, or the provision of, tools or supplies which may be retained by the employee after completion of a course of instruction, or meals, lodging, or transportation. The term "educational assistance" also does not include any payment for, or the provision of any benefits with respect to, any course or other education involving sports, games, or hobbies.</w:t>
      </w:r>
    </w:p>
    <w:p w14:paraId="7B01A52A" w14:textId="77777777" w:rsidR="003F3B23" w:rsidRPr="003F3B23" w:rsidRDefault="003F3B23" w:rsidP="003F3B23">
      <w:pPr>
        <w:spacing w:after="0" w:line="360" w:lineRule="auto"/>
        <w:rPr>
          <w:rFonts w:ascii="Arial" w:hAnsi="Arial" w:cs="Arial"/>
          <w:w w:val="105"/>
        </w:rPr>
      </w:pPr>
    </w:p>
    <w:p w14:paraId="092A2B74" w14:textId="77777777" w:rsidR="003F3B23" w:rsidRPr="003F3B23" w:rsidRDefault="003F3B23" w:rsidP="003F3B23">
      <w:pPr>
        <w:spacing w:after="0" w:line="360" w:lineRule="auto"/>
        <w:rPr>
          <w:rFonts w:ascii="Arial" w:hAnsi="Arial" w:cs="Arial"/>
          <w:w w:val="105"/>
        </w:rPr>
      </w:pPr>
      <w:r w:rsidRPr="003F3B23">
        <w:rPr>
          <w:rFonts w:ascii="Arial" w:hAnsi="Arial" w:cs="Arial"/>
          <w:w w:val="105"/>
        </w:rPr>
        <w:t xml:space="preserve">The CARES Act expands the above provision of the IRC, allowing for the inclusion of employer provided payment assistance to its employees’ qualified student loans as a non-taxable income to employees. </w:t>
      </w:r>
    </w:p>
    <w:p w14:paraId="31D1C9E6" w14:textId="77777777" w:rsidR="003F3B23" w:rsidRPr="003F3B23" w:rsidRDefault="003F3B23" w:rsidP="003F3B23">
      <w:pPr>
        <w:spacing w:after="0" w:line="360" w:lineRule="auto"/>
        <w:rPr>
          <w:rFonts w:ascii="Arial" w:hAnsi="Arial" w:cs="Arial"/>
          <w:w w:val="105"/>
        </w:rPr>
      </w:pPr>
    </w:p>
    <w:p w14:paraId="583B3E57" w14:textId="77777777" w:rsidR="003F3B23" w:rsidRPr="003F3B23" w:rsidRDefault="003F3B23" w:rsidP="003F3B23">
      <w:pPr>
        <w:spacing w:after="0" w:line="360" w:lineRule="auto"/>
        <w:rPr>
          <w:rFonts w:ascii="Arial" w:hAnsi="Arial" w:cs="Arial"/>
          <w:w w:val="105"/>
        </w:rPr>
      </w:pPr>
      <w:r w:rsidRPr="003F3B23">
        <w:rPr>
          <w:rFonts w:ascii="Arial" w:hAnsi="Arial" w:cs="Arial"/>
          <w:w w:val="105"/>
        </w:rPr>
        <w:t>The total amount of non-taxable employee income for all employer provided Education Assistance is $5,250.00. This provision for Student Loan Repayment plans is in effect for the period of March 27, 2020 (the day of enactment) until December 31, 2020.</w:t>
      </w:r>
    </w:p>
    <w:p w14:paraId="73D37BE0" w14:textId="77777777" w:rsidR="003F3B23" w:rsidRPr="003F3B23" w:rsidRDefault="003F3B23" w:rsidP="003F3B23">
      <w:pPr>
        <w:spacing w:after="0" w:line="360" w:lineRule="auto"/>
        <w:rPr>
          <w:rFonts w:ascii="Arial" w:hAnsi="Arial" w:cs="Arial"/>
          <w:w w:val="105"/>
        </w:rPr>
      </w:pPr>
    </w:p>
    <w:p w14:paraId="13442C46" w14:textId="77777777" w:rsidR="003F3B23" w:rsidRPr="003F3B23" w:rsidRDefault="003F3B23" w:rsidP="003F3B23">
      <w:pPr>
        <w:spacing w:after="0" w:line="360" w:lineRule="auto"/>
        <w:rPr>
          <w:rFonts w:ascii="Arial" w:hAnsi="Arial" w:cs="Arial"/>
          <w:w w:val="105"/>
        </w:rPr>
      </w:pPr>
      <w:r w:rsidRPr="003F3B23">
        <w:rPr>
          <w:rFonts w:ascii="Arial" w:hAnsi="Arial" w:cs="Arial"/>
          <w:w w:val="105"/>
        </w:rPr>
        <w:t xml:space="preserve">As businesses continue to make decisions on where best to deploy their capital, consideration should also be given to the fact that the CARES Act also provides an automatic 6-month temporary pause in payments for students holding student loan debts. The CARES Act suspends payment of both principal and interest for federally held student loans through September 30, 2020. Likewise, interest will not accrue during this period.  Not all federal student loans, including FFEL and Perkins loans, qualify and this forbearance provision does not apply to private student loans.  </w:t>
      </w:r>
    </w:p>
    <w:p w14:paraId="3963427C" w14:textId="77777777" w:rsidR="003F3B23" w:rsidRPr="003F3B23" w:rsidRDefault="003F3B23" w:rsidP="003F3B23">
      <w:pPr>
        <w:spacing w:after="0" w:line="360" w:lineRule="auto"/>
        <w:rPr>
          <w:rFonts w:ascii="Arial" w:hAnsi="Arial" w:cs="Arial"/>
          <w:w w:val="105"/>
        </w:rPr>
      </w:pPr>
    </w:p>
    <w:p w14:paraId="2FFA6CB5" w14:textId="77777777" w:rsidR="003F3B23" w:rsidRPr="003F3B23" w:rsidRDefault="003F3B23" w:rsidP="003F3B23">
      <w:pPr>
        <w:spacing w:after="0" w:line="360" w:lineRule="auto"/>
        <w:rPr>
          <w:rFonts w:ascii="Arial" w:hAnsi="Arial" w:cs="Arial"/>
          <w:w w:val="105"/>
        </w:rPr>
      </w:pPr>
    </w:p>
    <w:p w14:paraId="3529378B" w14:textId="77777777" w:rsidR="003F3B23" w:rsidRPr="003F3B23" w:rsidRDefault="003F3B23" w:rsidP="003F3B23">
      <w:pPr>
        <w:spacing w:after="0" w:line="360" w:lineRule="auto"/>
        <w:rPr>
          <w:rFonts w:ascii="Arial" w:hAnsi="Arial" w:cs="Arial"/>
          <w:w w:val="105"/>
        </w:rPr>
      </w:pPr>
    </w:p>
    <w:p w14:paraId="09449688" w14:textId="77777777" w:rsidR="003F3B23" w:rsidRPr="003F3B23" w:rsidRDefault="003F3B23" w:rsidP="003F3B23">
      <w:pPr>
        <w:spacing w:after="0" w:line="360" w:lineRule="auto"/>
        <w:rPr>
          <w:rFonts w:ascii="Arial" w:hAnsi="Arial" w:cs="Arial"/>
          <w:w w:val="105"/>
        </w:rPr>
      </w:pPr>
    </w:p>
    <w:p w14:paraId="274F9A60" w14:textId="1B93AB63" w:rsidR="003F3B23" w:rsidRDefault="003F3B23" w:rsidP="003F3B23">
      <w:pPr>
        <w:spacing w:after="0" w:line="360" w:lineRule="auto"/>
        <w:rPr>
          <w:rFonts w:ascii="Arial" w:hAnsi="Arial" w:cs="Arial"/>
          <w:w w:val="105"/>
        </w:rPr>
      </w:pPr>
      <w:r w:rsidRPr="003F3B23">
        <w:rPr>
          <w:rFonts w:ascii="Arial" w:hAnsi="Arial" w:cs="Arial"/>
          <w:w w:val="105"/>
        </w:rPr>
        <w:lastRenderedPageBreak/>
        <w:t xml:space="preserve">Furthermore, the CARES Act lifts the requirement of applying for a forbearance that had been communicated earlier in March. After announcing Coronavirus (COVID-19) a Public Health Crisis on March 13, President Trump announced that interest would be waived on federally held student loans and a </w:t>
      </w:r>
      <w:hyperlink r:id="rId15" w:history="1">
        <w:r w:rsidRPr="004645EF">
          <w:rPr>
            <w:rStyle w:val="Hyperlink"/>
            <w:rFonts w:ascii="Arial" w:hAnsi="Arial" w:cs="Arial"/>
            <w:color w:val="006EB7"/>
            <w:w w:val="105"/>
          </w:rPr>
          <w:t>two-month forbearance</w:t>
        </w:r>
      </w:hyperlink>
      <w:r w:rsidRPr="003F3B23">
        <w:rPr>
          <w:rFonts w:ascii="Arial" w:hAnsi="Arial" w:cs="Arial"/>
          <w:w w:val="105"/>
        </w:rPr>
        <w:t xml:space="preserve"> was initiated. This required borrowers to apply for protection. Being an automatic suspension under the CARES Act, this application process is no longer necessary for eligible student loans. It though a consideration that payments should continue to be made to the student loan that is in forbearance. Because interest will not accrue during this period, the payment will be applied to the principal amount owed, which will reduce the debt at faster rate.</w:t>
      </w:r>
    </w:p>
    <w:p w14:paraId="0B22C5BE" w14:textId="5008B628" w:rsidR="007D0DD8" w:rsidRDefault="007D0DD8" w:rsidP="003F3B23">
      <w:pPr>
        <w:spacing w:after="0" w:line="360" w:lineRule="auto"/>
        <w:rPr>
          <w:rFonts w:ascii="Arial" w:hAnsi="Arial" w:cs="Arial"/>
          <w:w w:val="105"/>
        </w:rPr>
      </w:pPr>
    </w:p>
    <w:p w14:paraId="7940F5D8" w14:textId="1EBF2ED1" w:rsidR="007D0DD8" w:rsidRPr="007D0DD8" w:rsidRDefault="007D0DD8" w:rsidP="007D0DD8">
      <w:pPr>
        <w:spacing w:after="0" w:line="360" w:lineRule="auto"/>
        <w:jc w:val="center"/>
        <w:rPr>
          <w:rFonts w:ascii="Arial" w:hAnsi="Arial" w:cs="Arial"/>
          <w:color w:val="BFBFBF" w:themeColor="background1" w:themeShade="BF"/>
          <w:w w:val="105"/>
        </w:rPr>
      </w:pPr>
      <w:r w:rsidRPr="007D0DD8">
        <w:rPr>
          <w:rFonts w:ascii="Arial" w:hAnsi="Arial" w:cs="Arial"/>
          <w:color w:val="BFBFBF" w:themeColor="background1" w:themeShade="BF"/>
          <w:w w:val="105"/>
        </w:rPr>
        <w:t>_________________________________</w:t>
      </w:r>
    </w:p>
    <w:p w14:paraId="33E22CD8" w14:textId="77777777" w:rsidR="003F3B23" w:rsidRPr="003F3B23" w:rsidRDefault="003F3B23" w:rsidP="003F3B23">
      <w:pPr>
        <w:spacing w:after="0" w:line="360" w:lineRule="auto"/>
        <w:rPr>
          <w:rFonts w:ascii="Arial" w:hAnsi="Arial" w:cs="Arial"/>
          <w:w w:val="105"/>
        </w:rPr>
      </w:pPr>
    </w:p>
    <w:p w14:paraId="06DF1764" w14:textId="77777777" w:rsidR="003F3B23" w:rsidRPr="003F3B23" w:rsidRDefault="003F3B23" w:rsidP="003F3B23">
      <w:pPr>
        <w:spacing w:after="0" w:line="360" w:lineRule="auto"/>
        <w:rPr>
          <w:rFonts w:ascii="Arial" w:hAnsi="Arial" w:cs="Arial"/>
          <w:w w:val="105"/>
        </w:rPr>
      </w:pPr>
      <w:r w:rsidRPr="003F3B23">
        <w:rPr>
          <w:rFonts w:ascii="Arial" w:hAnsi="Arial" w:cs="Arial"/>
          <w:w w:val="105"/>
        </w:rPr>
        <w:t xml:space="preserve">Amidst the employment challenges presented by COVID-19, employers are continuing to evaluate decisions that will enable them to attract and retain quality employees. Having and communicating available resources that will support employees during this time of crisis will continue to keep an organization in the forefront as an Employer of Choice.  For example, sharing with employees that CARES Act also means that garnishment of wages. Social Security and/or tax refunds and debt collection process is also in forbearance. Additionally, any non-payments during this forbearance </w:t>
      </w:r>
      <w:proofErr w:type="gramStart"/>
      <w:r w:rsidRPr="003F3B23">
        <w:rPr>
          <w:rFonts w:ascii="Arial" w:hAnsi="Arial" w:cs="Arial"/>
          <w:w w:val="105"/>
        </w:rPr>
        <w:t>period  will</w:t>
      </w:r>
      <w:proofErr w:type="gramEnd"/>
      <w:r w:rsidRPr="003F3B23">
        <w:rPr>
          <w:rFonts w:ascii="Arial" w:hAnsi="Arial" w:cs="Arial"/>
          <w:w w:val="105"/>
        </w:rPr>
        <w:t xml:space="preserve"> be counted toward any payments due through a public service loan forgiveness program. </w:t>
      </w:r>
    </w:p>
    <w:p w14:paraId="3790FE4B" w14:textId="77777777" w:rsidR="003F3B23" w:rsidRPr="003F3B23" w:rsidRDefault="003F3B23" w:rsidP="003F3B23">
      <w:pPr>
        <w:spacing w:after="0" w:line="360" w:lineRule="auto"/>
        <w:rPr>
          <w:rFonts w:ascii="Arial" w:hAnsi="Arial" w:cs="Arial"/>
          <w:w w:val="105"/>
        </w:rPr>
      </w:pPr>
    </w:p>
    <w:p w14:paraId="6C411C91" w14:textId="00E69685" w:rsidR="003F3B23" w:rsidRPr="003F3B23" w:rsidRDefault="003F3B23" w:rsidP="003F3B23">
      <w:pPr>
        <w:spacing w:after="0" w:line="360" w:lineRule="auto"/>
        <w:rPr>
          <w:rFonts w:ascii="Arial" w:hAnsi="Arial" w:cs="Arial"/>
          <w:w w:val="105"/>
        </w:rPr>
      </w:pPr>
      <w:r w:rsidRPr="003F3B23">
        <w:rPr>
          <w:rFonts w:ascii="Arial" w:hAnsi="Arial" w:cs="Arial"/>
          <w:w w:val="105"/>
        </w:rPr>
        <w:t xml:space="preserve">Employers that are looking to implement an Employer Paid Student loan repayment policy in consideration of the Student Loan Replacement provisions of the CARES Act, or wanting to be able to assist in guiding their employees through all available options, should seek out creditable providers to guide them and their employees. While the CARES Act  provision offers a short-term solution to an existing challenge, employees and employers alike have been waiting for a similar solution and with anticipation await passage of the </w:t>
      </w:r>
      <w:hyperlink r:id="rId16" w:history="1">
        <w:r w:rsidRPr="004645EF">
          <w:rPr>
            <w:rStyle w:val="Hyperlink"/>
            <w:rFonts w:ascii="Arial" w:hAnsi="Arial" w:cs="Arial"/>
            <w:color w:val="006EB7"/>
            <w:w w:val="105"/>
          </w:rPr>
          <w:t>Employer Participation in Repayment Act of 2019 (H.R. 1043)</w:t>
        </w:r>
      </w:hyperlink>
      <w:r w:rsidRPr="003F3B23">
        <w:rPr>
          <w:rFonts w:ascii="Arial" w:hAnsi="Arial" w:cs="Arial"/>
          <w:w w:val="105"/>
        </w:rPr>
        <w:t xml:space="preserve">.   Your trusted benefits advisor can provide you with access to vetted solutions to assist you in this process and keep you updated with the latest developments.  </w:t>
      </w:r>
    </w:p>
    <w:p w14:paraId="18F1D426" w14:textId="77777777" w:rsidR="003F3B23" w:rsidRPr="003F3B23" w:rsidRDefault="003F3B23" w:rsidP="003F3B23">
      <w:pPr>
        <w:spacing w:after="0" w:line="360" w:lineRule="auto"/>
        <w:rPr>
          <w:rFonts w:ascii="Arial" w:hAnsi="Arial" w:cs="Arial"/>
          <w:w w:val="105"/>
        </w:rPr>
      </w:pPr>
    </w:p>
    <w:p w14:paraId="106477D2" w14:textId="77777777" w:rsidR="003F3B23" w:rsidRPr="003F3B23" w:rsidRDefault="003F3B23" w:rsidP="003F3B23">
      <w:pPr>
        <w:spacing w:after="0" w:line="360" w:lineRule="auto"/>
        <w:rPr>
          <w:rFonts w:ascii="Arial" w:hAnsi="Arial" w:cs="Arial"/>
          <w:w w:val="105"/>
        </w:rPr>
      </w:pPr>
    </w:p>
    <w:p w14:paraId="795567BC" w14:textId="77777777" w:rsidR="003F3B23" w:rsidRPr="003F3B23" w:rsidRDefault="003F3B23" w:rsidP="003F3B23">
      <w:pPr>
        <w:spacing w:after="0" w:line="360" w:lineRule="auto"/>
        <w:rPr>
          <w:rFonts w:ascii="Arial" w:hAnsi="Arial" w:cs="Arial"/>
          <w:w w:val="105"/>
        </w:rPr>
      </w:pPr>
    </w:p>
    <w:p w14:paraId="5C799D31" w14:textId="77777777" w:rsidR="003F3B23" w:rsidRPr="003F3B23" w:rsidRDefault="003F3B23" w:rsidP="003F3B23">
      <w:pPr>
        <w:spacing w:after="0" w:line="360" w:lineRule="auto"/>
        <w:rPr>
          <w:rFonts w:ascii="Arial" w:hAnsi="Arial" w:cs="Arial"/>
          <w:w w:val="105"/>
        </w:rPr>
      </w:pPr>
    </w:p>
    <w:p w14:paraId="4090516B" w14:textId="77777777" w:rsidR="003F3B23" w:rsidRPr="003F3B23" w:rsidRDefault="003F3B23" w:rsidP="003F3B23">
      <w:pPr>
        <w:spacing w:after="0" w:line="360" w:lineRule="auto"/>
        <w:rPr>
          <w:rFonts w:ascii="Arial" w:hAnsi="Arial" w:cs="Arial"/>
          <w:w w:val="105"/>
        </w:rPr>
      </w:pPr>
    </w:p>
    <w:p w14:paraId="741E626F" w14:textId="6BB6C6DD" w:rsidR="003F3B23" w:rsidRPr="003F3B23" w:rsidRDefault="003F3B23" w:rsidP="003F3B23">
      <w:pPr>
        <w:spacing w:after="0" w:line="360" w:lineRule="auto"/>
        <w:rPr>
          <w:rFonts w:ascii="Arial" w:hAnsi="Arial" w:cs="Arial"/>
          <w:b/>
          <w:bCs/>
          <w:color w:val="006EB7"/>
          <w:w w:val="105"/>
        </w:rPr>
      </w:pPr>
      <w:r w:rsidRPr="003F3B23">
        <w:rPr>
          <w:rFonts w:ascii="Arial" w:hAnsi="Arial" w:cs="Arial"/>
          <w:b/>
          <w:bCs/>
          <w:noProof/>
          <w:color w:val="006EB7"/>
          <w:w w:val="105"/>
        </w:rPr>
        <w:lastRenderedPageBreak/>
        <w:drawing>
          <wp:anchor distT="0" distB="0" distL="114300" distR="114300" simplePos="0" relativeHeight="251659264" behindDoc="0" locked="0" layoutInCell="1" allowOverlap="1" wp14:anchorId="5DF8085D" wp14:editId="49E7BE30">
            <wp:simplePos x="0" y="0"/>
            <wp:positionH relativeFrom="margin">
              <wp:align>left</wp:align>
            </wp:positionH>
            <wp:positionV relativeFrom="paragraph">
              <wp:posOffset>0</wp:posOffset>
            </wp:positionV>
            <wp:extent cx="1263650" cy="1263650"/>
            <wp:effectExtent l="0" t="0" r="0" b="0"/>
            <wp:wrapSquare wrapText="bothSides"/>
            <wp:docPr id="3" name="Picture 3" descr="A person smiling for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obbi-Kloss278x278.png"/>
                    <pic:cNvPicPr/>
                  </pic:nvPicPr>
                  <pic:blipFill>
                    <a:blip r:embed="rId17">
                      <a:extLst>
                        <a:ext uri="{28A0092B-C50C-407E-A947-70E740481C1C}">
                          <a14:useLocalDpi xmlns:a14="http://schemas.microsoft.com/office/drawing/2010/main" val="0"/>
                        </a:ext>
                      </a:extLst>
                    </a:blip>
                    <a:stretch>
                      <a:fillRect/>
                    </a:stretch>
                  </pic:blipFill>
                  <pic:spPr>
                    <a:xfrm>
                      <a:off x="0" y="0"/>
                      <a:ext cx="1263650" cy="1263650"/>
                    </a:xfrm>
                    <a:prstGeom prst="rect">
                      <a:avLst/>
                    </a:prstGeom>
                  </pic:spPr>
                </pic:pic>
              </a:graphicData>
            </a:graphic>
            <wp14:sizeRelH relativeFrom="margin">
              <wp14:pctWidth>0</wp14:pctWidth>
            </wp14:sizeRelH>
            <wp14:sizeRelV relativeFrom="margin">
              <wp14:pctHeight>0</wp14:pctHeight>
            </wp14:sizeRelV>
          </wp:anchor>
        </w:drawing>
      </w:r>
      <w:r w:rsidRPr="003F3B23">
        <w:rPr>
          <w:rFonts w:ascii="Arial" w:hAnsi="Arial" w:cs="Arial"/>
          <w:b/>
          <w:bCs/>
          <w:color w:val="006EB7"/>
          <w:w w:val="105"/>
        </w:rPr>
        <w:t>Bobbi Kloss</w:t>
      </w:r>
    </w:p>
    <w:p w14:paraId="4CB32C7E" w14:textId="77777777" w:rsidR="003F3B23" w:rsidRPr="000F6CFC" w:rsidRDefault="003F3B23" w:rsidP="003F3B23">
      <w:pPr>
        <w:spacing w:after="0" w:line="360" w:lineRule="auto"/>
        <w:rPr>
          <w:rFonts w:ascii="Arial" w:hAnsi="Arial" w:cs="Arial"/>
          <w:b/>
          <w:bCs/>
          <w:w w:val="105"/>
        </w:rPr>
      </w:pPr>
      <w:r w:rsidRPr="000F6CFC">
        <w:rPr>
          <w:rFonts w:ascii="Arial" w:hAnsi="Arial" w:cs="Arial"/>
          <w:b/>
          <w:bCs/>
          <w:w w:val="105"/>
        </w:rPr>
        <w:t>Director, Human Capital Management Services</w:t>
      </w:r>
    </w:p>
    <w:p w14:paraId="10BEB478" w14:textId="77777777" w:rsidR="003F3B23" w:rsidRPr="003F3B23" w:rsidRDefault="003F3B23" w:rsidP="003F3B23">
      <w:pPr>
        <w:spacing w:after="0" w:line="360" w:lineRule="auto"/>
        <w:rPr>
          <w:rFonts w:ascii="Arial" w:hAnsi="Arial" w:cs="Arial"/>
          <w:w w:val="105"/>
        </w:rPr>
      </w:pPr>
    </w:p>
    <w:p w14:paraId="05498BAE" w14:textId="77777777" w:rsidR="003F3B23" w:rsidRDefault="003F3B23" w:rsidP="003F3B23">
      <w:pPr>
        <w:spacing w:after="0" w:line="360" w:lineRule="auto"/>
        <w:rPr>
          <w:rFonts w:ascii="Arial" w:hAnsi="Arial" w:cs="Arial"/>
          <w:w w:val="105"/>
        </w:rPr>
      </w:pPr>
      <w:r w:rsidRPr="003F3B23">
        <w:rPr>
          <w:rFonts w:ascii="Arial" w:hAnsi="Arial" w:cs="Arial"/>
          <w:w w:val="105"/>
        </w:rPr>
        <w:t>With more than 20 years of Human Resource Generalist &amp; Executive Level HCM Management experience, Kloss serves as the Director for the Human Capital Management Department for Benefit Advisors Network (BAN). With a deep understanding of the increasingly complex and diverse HR industry, Kloss provides her expertise to BAN's employee benefit brokerage members as well as their employer clients. She oversees all HR-related functions for the association, initiating pro-active, strategic compliance practices, which limits exposure in all areas of potential liability for BAN members and their clients.</w:t>
      </w:r>
    </w:p>
    <w:p w14:paraId="5FE1AF69" w14:textId="77777777" w:rsidR="003F3B23" w:rsidRDefault="003F3B23" w:rsidP="003F3B23">
      <w:pPr>
        <w:spacing w:after="0" w:line="360" w:lineRule="auto"/>
        <w:rPr>
          <w:rFonts w:ascii="Arial" w:hAnsi="Arial" w:cs="Arial"/>
          <w:w w:val="105"/>
        </w:rPr>
      </w:pPr>
    </w:p>
    <w:p w14:paraId="2DAFF3D6" w14:textId="77777777" w:rsidR="003F3B23" w:rsidRDefault="003F3B23" w:rsidP="003F3B23">
      <w:pPr>
        <w:spacing w:after="0" w:line="360" w:lineRule="auto"/>
        <w:rPr>
          <w:rFonts w:ascii="Arial" w:hAnsi="Arial" w:cs="Arial"/>
          <w:w w:val="105"/>
        </w:rPr>
      </w:pPr>
    </w:p>
    <w:p w14:paraId="35AFE926" w14:textId="77777777" w:rsidR="003F3B23" w:rsidRDefault="003F3B23" w:rsidP="003F3B23">
      <w:pPr>
        <w:spacing w:after="0" w:line="360" w:lineRule="auto"/>
        <w:rPr>
          <w:rFonts w:ascii="Arial" w:hAnsi="Arial" w:cs="Arial"/>
          <w:w w:val="105"/>
        </w:rPr>
      </w:pPr>
    </w:p>
    <w:p w14:paraId="0EE638C5" w14:textId="77777777" w:rsidR="003F3B23" w:rsidRDefault="003F3B23" w:rsidP="003F3B23">
      <w:pPr>
        <w:spacing w:after="0" w:line="360" w:lineRule="auto"/>
        <w:rPr>
          <w:rFonts w:ascii="Arial" w:hAnsi="Arial" w:cs="Arial"/>
          <w:w w:val="105"/>
        </w:rPr>
      </w:pPr>
    </w:p>
    <w:p w14:paraId="338CFB49" w14:textId="77777777" w:rsidR="003F3B23" w:rsidRDefault="003F3B23" w:rsidP="003F3B23">
      <w:pPr>
        <w:spacing w:after="0" w:line="360" w:lineRule="auto"/>
        <w:rPr>
          <w:rFonts w:ascii="Arial" w:hAnsi="Arial" w:cs="Arial"/>
          <w:w w:val="105"/>
        </w:rPr>
      </w:pPr>
    </w:p>
    <w:p w14:paraId="4C81E9B3" w14:textId="77777777" w:rsidR="003F3B23" w:rsidRDefault="003F3B23" w:rsidP="003F3B23">
      <w:pPr>
        <w:spacing w:after="0" w:line="360" w:lineRule="auto"/>
        <w:rPr>
          <w:rFonts w:ascii="Arial" w:hAnsi="Arial" w:cs="Arial"/>
          <w:w w:val="105"/>
        </w:rPr>
      </w:pPr>
    </w:p>
    <w:p w14:paraId="2F9FF240" w14:textId="77777777" w:rsidR="003F3B23" w:rsidRDefault="003F3B23" w:rsidP="003F3B23">
      <w:pPr>
        <w:spacing w:after="0" w:line="360" w:lineRule="auto"/>
        <w:rPr>
          <w:rFonts w:ascii="Arial" w:hAnsi="Arial" w:cs="Arial"/>
          <w:w w:val="105"/>
        </w:rPr>
      </w:pPr>
    </w:p>
    <w:p w14:paraId="4E229FB3" w14:textId="77777777" w:rsidR="003F3B23" w:rsidRDefault="003F3B23" w:rsidP="003F3B23">
      <w:pPr>
        <w:spacing w:after="0" w:line="360" w:lineRule="auto"/>
        <w:rPr>
          <w:rFonts w:ascii="Arial" w:hAnsi="Arial" w:cs="Arial"/>
          <w:w w:val="105"/>
        </w:rPr>
      </w:pPr>
    </w:p>
    <w:p w14:paraId="68A8472D" w14:textId="77777777" w:rsidR="003F3B23" w:rsidRDefault="003F3B23" w:rsidP="003F3B23">
      <w:pPr>
        <w:spacing w:after="0" w:line="360" w:lineRule="auto"/>
        <w:rPr>
          <w:rFonts w:ascii="Arial" w:hAnsi="Arial" w:cs="Arial"/>
          <w:w w:val="105"/>
        </w:rPr>
      </w:pPr>
    </w:p>
    <w:p w14:paraId="3EEA9078" w14:textId="77777777" w:rsidR="003F3B23" w:rsidRDefault="003F3B23" w:rsidP="003F3B23">
      <w:pPr>
        <w:spacing w:after="0" w:line="360" w:lineRule="auto"/>
        <w:rPr>
          <w:rFonts w:ascii="Arial" w:hAnsi="Arial" w:cs="Arial"/>
          <w:w w:val="105"/>
        </w:rPr>
      </w:pPr>
    </w:p>
    <w:p w14:paraId="07F48CD5" w14:textId="77777777" w:rsidR="003F3B23" w:rsidRDefault="003F3B23" w:rsidP="003F3B23">
      <w:pPr>
        <w:spacing w:after="0" w:line="360" w:lineRule="auto"/>
        <w:rPr>
          <w:rFonts w:ascii="Arial" w:hAnsi="Arial" w:cs="Arial"/>
          <w:w w:val="105"/>
        </w:rPr>
      </w:pPr>
    </w:p>
    <w:p w14:paraId="58A23051" w14:textId="77777777" w:rsidR="003F3B23" w:rsidRDefault="003F3B23" w:rsidP="003F3B23">
      <w:pPr>
        <w:spacing w:after="0" w:line="360" w:lineRule="auto"/>
        <w:rPr>
          <w:rFonts w:ascii="Arial" w:hAnsi="Arial" w:cs="Arial"/>
          <w:w w:val="105"/>
        </w:rPr>
      </w:pPr>
    </w:p>
    <w:p w14:paraId="4CF6A195" w14:textId="77777777" w:rsidR="003F3B23" w:rsidRDefault="003F3B23" w:rsidP="003F3B23">
      <w:pPr>
        <w:spacing w:after="0" w:line="360" w:lineRule="auto"/>
        <w:rPr>
          <w:rFonts w:ascii="Arial" w:hAnsi="Arial" w:cs="Arial"/>
          <w:w w:val="105"/>
        </w:rPr>
      </w:pPr>
    </w:p>
    <w:p w14:paraId="51FD7432" w14:textId="77777777" w:rsidR="003F3B23" w:rsidRDefault="003F3B23" w:rsidP="003F3B23">
      <w:pPr>
        <w:spacing w:after="0" w:line="360" w:lineRule="auto"/>
        <w:rPr>
          <w:rFonts w:ascii="Arial" w:hAnsi="Arial" w:cs="Arial"/>
          <w:w w:val="105"/>
        </w:rPr>
      </w:pPr>
    </w:p>
    <w:p w14:paraId="015E8174" w14:textId="77777777" w:rsidR="003F3B23" w:rsidRDefault="003F3B23" w:rsidP="003F3B23">
      <w:pPr>
        <w:spacing w:after="0" w:line="360" w:lineRule="auto"/>
        <w:rPr>
          <w:rFonts w:ascii="Arial" w:hAnsi="Arial" w:cs="Arial"/>
          <w:w w:val="105"/>
        </w:rPr>
      </w:pPr>
    </w:p>
    <w:p w14:paraId="02B4B3AE" w14:textId="77777777" w:rsidR="003F3B23" w:rsidRDefault="003F3B23" w:rsidP="003F3B23">
      <w:pPr>
        <w:spacing w:after="0" w:line="360" w:lineRule="auto"/>
        <w:rPr>
          <w:rFonts w:ascii="Arial" w:hAnsi="Arial" w:cs="Arial"/>
          <w:w w:val="105"/>
        </w:rPr>
      </w:pPr>
    </w:p>
    <w:p w14:paraId="4F36F436" w14:textId="77777777" w:rsidR="003F3B23" w:rsidRDefault="003F3B23" w:rsidP="003F3B23">
      <w:pPr>
        <w:spacing w:after="0" w:line="360" w:lineRule="auto"/>
        <w:rPr>
          <w:rFonts w:ascii="Arial" w:hAnsi="Arial" w:cs="Arial"/>
          <w:w w:val="105"/>
        </w:rPr>
      </w:pPr>
    </w:p>
    <w:p w14:paraId="5C764A6F" w14:textId="77777777" w:rsidR="003F3B23" w:rsidRDefault="003F3B23" w:rsidP="003F3B23">
      <w:pPr>
        <w:spacing w:after="0" w:line="360" w:lineRule="auto"/>
        <w:rPr>
          <w:rFonts w:ascii="Arial" w:hAnsi="Arial" w:cs="Arial"/>
          <w:w w:val="105"/>
        </w:rPr>
      </w:pPr>
    </w:p>
    <w:p w14:paraId="7C8496F5" w14:textId="77777777" w:rsidR="003F3B23" w:rsidRDefault="003F3B23" w:rsidP="003F3B23">
      <w:pPr>
        <w:spacing w:after="0" w:line="360" w:lineRule="auto"/>
        <w:rPr>
          <w:rFonts w:ascii="Arial" w:hAnsi="Arial" w:cs="Arial"/>
          <w:w w:val="105"/>
        </w:rPr>
      </w:pPr>
    </w:p>
    <w:p w14:paraId="33B89CE2" w14:textId="2A17FBF0" w:rsidR="001833FD" w:rsidRDefault="003F3B23" w:rsidP="003F3B23">
      <w:pPr>
        <w:spacing w:after="0" w:line="360" w:lineRule="auto"/>
        <w:rPr>
          <w:rFonts w:ascii="Arial" w:hAnsi="Arial" w:cs="Arial"/>
          <w:w w:val="105"/>
        </w:rPr>
      </w:pPr>
      <w:r w:rsidRPr="003F3B23">
        <w:rPr>
          <w:rFonts w:ascii="Arial" w:hAnsi="Arial" w:cs="Arial"/>
          <w:w w:val="105"/>
        </w:rPr>
        <w:t>BAN 632</w:t>
      </w:r>
    </w:p>
    <w:tbl>
      <w:tblPr>
        <w:tblStyle w:val="TableGrid"/>
        <w:tblW w:w="10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left w:w="115" w:type="dxa"/>
          <w:right w:w="115" w:type="dxa"/>
        </w:tblCellMar>
        <w:tblLook w:val="04A0" w:firstRow="1" w:lastRow="0" w:firstColumn="1" w:lastColumn="0" w:noHBand="0" w:noVBand="1"/>
      </w:tblPr>
      <w:tblGrid>
        <w:gridCol w:w="10310"/>
      </w:tblGrid>
      <w:tr w:rsidR="001D13C0" w:rsidRPr="009E7157" w14:paraId="67C2EC14" w14:textId="77777777" w:rsidTr="006E07BA">
        <w:trPr>
          <w:trHeight w:val="990"/>
        </w:trPr>
        <w:tc>
          <w:tcPr>
            <w:tcW w:w="10310" w:type="dxa"/>
            <w:tcBorders>
              <w:top w:val="nil"/>
              <w:left w:val="nil"/>
              <w:bottom w:val="nil"/>
              <w:right w:val="nil"/>
            </w:tcBorders>
            <w:vAlign w:val="center"/>
          </w:tcPr>
          <w:p w14:paraId="404665FA" w14:textId="77777777" w:rsidR="001D13C0" w:rsidRPr="009E7157" w:rsidRDefault="001D13C0" w:rsidP="006E07BA">
            <w:pPr>
              <w:rPr>
                <w:rStyle w:val="Emphasis"/>
                <w:rFonts w:ascii="Arial" w:hAnsi="Arial" w:cs="Arial"/>
                <w:sz w:val="16"/>
                <w:szCs w:val="16"/>
              </w:rPr>
            </w:pPr>
            <w:r w:rsidRPr="009E7157">
              <w:rPr>
                <w:rFonts w:ascii="Arial" w:hAnsi="Arial" w:cs="Arial"/>
                <w:sz w:val="16"/>
                <w:szCs w:val="16"/>
              </w:rPr>
              <w:t>© Copyright 2020 Benefit Advisors Network. All rights reserved</w:t>
            </w:r>
            <w:r>
              <w:rPr>
                <w:rFonts w:ascii="Arial" w:hAnsi="Arial" w:cs="Arial"/>
                <w:sz w:val="16"/>
                <w:szCs w:val="16"/>
              </w:rPr>
              <w:t>.</w:t>
            </w:r>
          </w:p>
        </w:tc>
      </w:tr>
    </w:tbl>
    <w:p w14:paraId="7528FB87" w14:textId="77777777" w:rsidR="001D13C0" w:rsidRPr="003F3B23" w:rsidRDefault="001D13C0" w:rsidP="003F3B23">
      <w:pPr>
        <w:spacing w:after="0" w:line="360" w:lineRule="auto"/>
        <w:rPr>
          <w:rFonts w:ascii="Arial" w:hAnsi="Arial" w:cs="Arial"/>
          <w:w w:val="105"/>
        </w:rPr>
      </w:pPr>
    </w:p>
    <w:sectPr w:rsidR="001D13C0" w:rsidRPr="003F3B23" w:rsidSect="00271E67">
      <w:footerReference w:type="default" r:id="rId1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BDDD26" w14:textId="77777777" w:rsidR="00061EC2" w:rsidRDefault="00061EC2" w:rsidP="00271E67">
      <w:pPr>
        <w:spacing w:after="0" w:line="240" w:lineRule="auto"/>
      </w:pPr>
      <w:r>
        <w:separator/>
      </w:r>
    </w:p>
  </w:endnote>
  <w:endnote w:type="continuationSeparator" w:id="0">
    <w:p w14:paraId="76E5A2FA" w14:textId="77777777" w:rsidR="00061EC2" w:rsidRDefault="00061EC2" w:rsidP="00271E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300347574"/>
      <w:docPartObj>
        <w:docPartGallery w:val="Page Numbers (Bottom of Page)"/>
        <w:docPartUnique/>
      </w:docPartObj>
    </w:sdtPr>
    <w:sdtEndPr>
      <w:rPr>
        <w:noProof/>
        <w:color w:val="006EB7"/>
      </w:rPr>
    </w:sdtEndPr>
    <w:sdtContent>
      <w:p w14:paraId="69F9D707" w14:textId="187714BF" w:rsidR="00061EC2" w:rsidRPr="003756BA" w:rsidRDefault="00061EC2" w:rsidP="00115F48">
        <w:pPr>
          <w:pStyle w:val="Footer"/>
          <w:rPr>
            <w:rFonts w:ascii="Arial" w:hAnsi="Arial" w:cs="Arial"/>
          </w:rPr>
        </w:pPr>
        <w:r w:rsidRPr="003756BA">
          <w:rPr>
            <w:rFonts w:ascii="Arial" w:hAnsi="Arial" w:cs="Arial"/>
            <w:noProof/>
          </w:rPr>
          <w:drawing>
            <wp:anchor distT="0" distB="0" distL="114300" distR="114300" simplePos="0" relativeHeight="251659264" behindDoc="0" locked="0" layoutInCell="1" allowOverlap="1" wp14:anchorId="454F8560" wp14:editId="139F725D">
              <wp:simplePos x="0" y="0"/>
              <wp:positionH relativeFrom="margin">
                <wp:posOffset>5133340</wp:posOffset>
              </wp:positionH>
              <wp:positionV relativeFrom="paragraph">
                <wp:posOffset>6350</wp:posOffset>
              </wp:positionV>
              <wp:extent cx="1609725" cy="733425"/>
              <wp:effectExtent l="0" t="0" r="9525" b="9525"/>
              <wp:wrapSquare wrapText="bothSides"/>
              <wp:docPr id="2" name="Picture 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1"/>
                      </pic:cNvPr>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09725" cy="733425"/>
                      </a:xfrm>
                      <a:prstGeom prst="rect">
                        <a:avLst/>
                      </a:prstGeom>
                    </pic:spPr>
                  </pic:pic>
                </a:graphicData>
              </a:graphic>
              <wp14:sizeRelH relativeFrom="margin">
                <wp14:pctWidth>0</wp14:pctWidth>
              </wp14:sizeRelH>
              <wp14:sizeRelV relativeFrom="margin">
                <wp14:pctHeight>0</wp14:pctHeight>
              </wp14:sizeRelV>
            </wp:anchor>
          </w:drawing>
        </w:r>
        <w:r w:rsidRPr="003756BA">
          <w:rPr>
            <w:rFonts w:ascii="Arial" w:hAnsi="Arial" w:cs="Arial"/>
          </w:rPr>
          <w:fldChar w:fldCharType="begin"/>
        </w:r>
        <w:r w:rsidRPr="003756BA">
          <w:rPr>
            <w:rFonts w:ascii="Arial" w:hAnsi="Arial" w:cs="Arial"/>
          </w:rPr>
          <w:instrText xml:space="preserve"> PAGE   \* MERGEFORMAT </w:instrText>
        </w:r>
        <w:r w:rsidRPr="003756BA">
          <w:rPr>
            <w:rFonts w:ascii="Arial" w:hAnsi="Arial" w:cs="Arial"/>
          </w:rPr>
          <w:fldChar w:fldCharType="separate"/>
        </w:r>
        <w:r w:rsidRPr="003756BA">
          <w:rPr>
            <w:rFonts w:ascii="Arial" w:hAnsi="Arial" w:cs="Arial"/>
            <w:noProof/>
          </w:rPr>
          <w:t>2</w:t>
        </w:r>
        <w:r w:rsidRPr="003756BA">
          <w:rPr>
            <w:rFonts w:ascii="Arial" w:hAnsi="Arial" w:cs="Arial"/>
            <w:noProof/>
          </w:rPr>
          <w:fldChar w:fldCharType="end"/>
        </w:r>
        <w:r w:rsidR="003756BA" w:rsidRPr="003756BA">
          <w:rPr>
            <w:rFonts w:ascii="Arial" w:hAnsi="Arial" w:cs="Arial"/>
            <w:noProof/>
          </w:rPr>
          <w:t xml:space="preserve">                                                               </w:t>
        </w:r>
      </w:p>
    </w:sdtContent>
  </w:sdt>
  <w:p w14:paraId="4FA073FA" w14:textId="2B6B73F8" w:rsidR="00061EC2" w:rsidRDefault="00061EC2">
    <w:pPr>
      <w:pStyle w:val="Footer"/>
    </w:pPr>
  </w:p>
  <w:p w14:paraId="6FAE5BE8" w14:textId="77777777" w:rsidR="00061EC2" w:rsidRDefault="00061EC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3F430F" w14:textId="77777777" w:rsidR="00061EC2" w:rsidRDefault="00061EC2" w:rsidP="00271E67">
      <w:pPr>
        <w:spacing w:after="0" w:line="240" w:lineRule="auto"/>
      </w:pPr>
      <w:r>
        <w:separator/>
      </w:r>
    </w:p>
  </w:footnote>
  <w:footnote w:type="continuationSeparator" w:id="0">
    <w:p w14:paraId="1C40DA10" w14:textId="77777777" w:rsidR="00061EC2" w:rsidRDefault="00061EC2" w:rsidP="00271E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56163"/>
    <w:multiLevelType w:val="hybridMultilevel"/>
    <w:tmpl w:val="CC72D58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1F9263B"/>
    <w:multiLevelType w:val="hybridMultilevel"/>
    <w:tmpl w:val="B57AA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4A1A64"/>
    <w:multiLevelType w:val="multilevel"/>
    <w:tmpl w:val="5E0EC2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A231F8A"/>
    <w:multiLevelType w:val="multilevel"/>
    <w:tmpl w:val="65C4655C"/>
    <w:lvl w:ilvl="0">
      <w:start w:val="1"/>
      <w:numFmt w:val="decimal"/>
      <w:lvlText w:val="%1"/>
      <w:lvlJc w:val="left"/>
      <w:pPr>
        <w:ind w:left="405" w:hanging="405"/>
      </w:pPr>
      <w:rPr>
        <w:rFonts w:hint="default"/>
      </w:rPr>
    </w:lvl>
    <w:lvl w:ilvl="1">
      <w:start w:val="1"/>
      <w:numFmt w:val="decimal"/>
      <w:lvlText w:val="%1.%2"/>
      <w:lvlJc w:val="left"/>
      <w:pPr>
        <w:ind w:left="823" w:hanging="405"/>
      </w:pPr>
      <w:rPr>
        <w:rFonts w:hint="default"/>
      </w:rPr>
    </w:lvl>
    <w:lvl w:ilvl="2">
      <w:start w:val="1"/>
      <w:numFmt w:val="decimal"/>
      <w:lvlText w:val="%1.%2.%3"/>
      <w:lvlJc w:val="left"/>
      <w:pPr>
        <w:ind w:left="1556" w:hanging="720"/>
      </w:pPr>
      <w:rPr>
        <w:rFonts w:hint="default"/>
      </w:rPr>
    </w:lvl>
    <w:lvl w:ilvl="3">
      <w:start w:val="1"/>
      <w:numFmt w:val="decimal"/>
      <w:lvlText w:val="%1.%2.%3.%4"/>
      <w:lvlJc w:val="left"/>
      <w:pPr>
        <w:ind w:left="1974" w:hanging="720"/>
      </w:pPr>
      <w:rPr>
        <w:rFonts w:hint="default"/>
      </w:rPr>
    </w:lvl>
    <w:lvl w:ilvl="4">
      <w:start w:val="1"/>
      <w:numFmt w:val="decimal"/>
      <w:lvlText w:val="%1.%2.%3.%4.%5"/>
      <w:lvlJc w:val="left"/>
      <w:pPr>
        <w:ind w:left="2752" w:hanging="1080"/>
      </w:pPr>
      <w:rPr>
        <w:rFonts w:hint="default"/>
      </w:rPr>
    </w:lvl>
    <w:lvl w:ilvl="5">
      <w:start w:val="1"/>
      <w:numFmt w:val="decimal"/>
      <w:lvlText w:val="%1.%2.%3.%4.%5.%6"/>
      <w:lvlJc w:val="left"/>
      <w:pPr>
        <w:ind w:left="3170" w:hanging="1080"/>
      </w:pPr>
      <w:rPr>
        <w:rFonts w:hint="default"/>
      </w:rPr>
    </w:lvl>
    <w:lvl w:ilvl="6">
      <w:start w:val="1"/>
      <w:numFmt w:val="decimal"/>
      <w:lvlText w:val="%1.%2.%3.%4.%5.%6.%7"/>
      <w:lvlJc w:val="left"/>
      <w:pPr>
        <w:ind w:left="3948" w:hanging="1440"/>
      </w:pPr>
      <w:rPr>
        <w:rFonts w:hint="default"/>
      </w:rPr>
    </w:lvl>
    <w:lvl w:ilvl="7">
      <w:start w:val="1"/>
      <w:numFmt w:val="decimal"/>
      <w:lvlText w:val="%1.%2.%3.%4.%5.%6.%7.%8"/>
      <w:lvlJc w:val="left"/>
      <w:pPr>
        <w:ind w:left="4366" w:hanging="1440"/>
      </w:pPr>
      <w:rPr>
        <w:rFonts w:hint="default"/>
      </w:rPr>
    </w:lvl>
    <w:lvl w:ilvl="8">
      <w:start w:val="1"/>
      <w:numFmt w:val="decimal"/>
      <w:lvlText w:val="%1.%2.%3.%4.%5.%6.%7.%8.%9"/>
      <w:lvlJc w:val="left"/>
      <w:pPr>
        <w:ind w:left="5144" w:hanging="1800"/>
      </w:pPr>
      <w:rPr>
        <w:rFonts w:hint="default"/>
      </w:rPr>
    </w:lvl>
  </w:abstractNum>
  <w:abstractNum w:abstractNumId="4" w15:restartNumberingAfterBreak="0">
    <w:nsid w:val="478F0473"/>
    <w:multiLevelType w:val="hybridMultilevel"/>
    <w:tmpl w:val="B0DA4C8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A721A48"/>
    <w:multiLevelType w:val="multilevel"/>
    <w:tmpl w:val="F6B8AC5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color w:val="auto"/>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2FA60A9"/>
    <w:multiLevelType w:val="hybridMultilevel"/>
    <w:tmpl w:val="DFD6B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BA6898"/>
    <w:multiLevelType w:val="hybridMultilevel"/>
    <w:tmpl w:val="B8DC6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A95483"/>
    <w:multiLevelType w:val="hybridMultilevel"/>
    <w:tmpl w:val="FEFA667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B46490"/>
    <w:multiLevelType w:val="hybridMultilevel"/>
    <w:tmpl w:val="824AB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7B6AB0"/>
    <w:multiLevelType w:val="hybridMultilevel"/>
    <w:tmpl w:val="8460CC60"/>
    <w:lvl w:ilvl="0" w:tplc="A59A9B9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D540B4"/>
    <w:multiLevelType w:val="hybridMultilevel"/>
    <w:tmpl w:val="18DCFD18"/>
    <w:lvl w:ilvl="0" w:tplc="36A00962">
      <w:numFmt w:val="bullet"/>
      <w:lvlText w:val=""/>
      <w:lvlJc w:val="left"/>
      <w:pPr>
        <w:ind w:left="460" w:hanging="360"/>
      </w:pPr>
      <w:rPr>
        <w:rFonts w:ascii="Symbol" w:eastAsia="Symbol" w:hAnsi="Symbol" w:cs="Symbol" w:hint="default"/>
        <w:color w:val="58595B"/>
        <w:w w:val="100"/>
        <w:sz w:val="20"/>
        <w:szCs w:val="20"/>
      </w:rPr>
    </w:lvl>
    <w:lvl w:ilvl="1" w:tplc="5CC0A16C">
      <w:numFmt w:val="bullet"/>
      <w:lvlText w:val="•"/>
      <w:lvlJc w:val="left"/>
      <w:pPr>
        <w:ind w:left="1474" w:hanging="360"/>
      </w:pPr>
      <w:rPr>
        <w:rFonts w:hint="default"/>
      </w:rPr>
    </w:lvl>
    <w:lvl w:ilvl="2" w:tplc="1952CFAE">
      <w:numFmt w:val="bullet"/>
      <w:lvlText w:val="•"/>
      <w:lvlJc w:val="left"/>
      <w:pPr>
        <w:ind w:left="2488" w:hanging="360"/>
      </w:pPr>
      <w:rPr>
        <w:rFonts w:hint="default"/>
      </w:rPr>
    </w:lvl>
    <w:lvl w:ilvl="3" w:tplc="F7D686BE">
      <w:numFmt w:val="bullet"/>
      <w:lvlText w:val="•"/>
      <w:lvlJc w:val="left"/>
      <w:pPr>
        <w:ind w:left="3502" w:hanging="360"/>
      </w:pPr>
      <w:rPr>
        <w:rFonts w:hint="default"/>
      </w:rPr>
    </w:lvl>
    <w:lvl w:ilvl="4" w:tplc="87FC7196">
      <w:numFmt w:val="bullet"/>
      <w:lvlText w:val="•"/>
      <w:lvlJc w:val="left"/>
      <w:pPr>
        <w:ind w:left="4516" w:hanging="360"/>
      </w:pPr>
      <w:rPr>
        <w:rFonts w:hint="default"/>
      </w:rPr>
    </w:lvl>
    <w:lvl w:ilvl="5" w:tplc="EBC44E18">
      <w:numFmt w:val="bullet"/>
      <w:lvlText w:val="•"/>
      <w:lvlJc w:val="left"/>
      <w:pPr>
        <w:ind w:left="5530" w:hanging="360"/>
      </w:pPr>
      <w:rPr>
        <w:rFonts w:hint="default"/>
      </w:rPr>
    </w:lvl>
    <w:lvl w:ilvl="6" w:tplc="6E842B04">
      <w:numFmt w:val="bullet"/>
      <w:lvlText w:val="•"/>
      <w:lvlJc w:val="left"/>
      <w:pPr>
        <w:ind w:left="6544" w:hanging="360"/>
      </w:pPr>
      <w:rPr>
        <w:rFonts w:hint="default"/>
      </w:rPr>
    </w:lvl>
    <w:lvl w:ilvl="7" w:tplc="99B67BD8">
      <w:numFmt w:val="bullet"/>
      <w:lvlText w:val="•"/>
      <w:lvlJc w:val="left"/>
      <w:pPr>
        <w:ind w:left="7558" w:hanging="360"/>
      </w:pPr>
      <w:rPr>
        <w:rFonts w:hint="default"/>
      </w:rPr>
    </w:lvl>
    <w:lvl w:ilvl="8" w:tplc="955A34C4">
      <w:numFmt w:val="bullet"/>
      <w:lvlText w:val="•"/>
      <w:lvlJc w:val="left"/>
      <w:pPr>
        <w:ind w:left="8572" w:hanging="360"/>
      </w:pPr>
      <w:rPr>
        <w:rFonts w:hint="default"/>
      </w:rPr>
    </w:lvl>
  </w:abstractNum>
  <w:num w:numId="1">
    <w:abstractNumId w:val="11"/>
  </w:num>
  <w:num w:numId="2">
    <w:abstractNumId w:val="7"/>
  </w:num>
  <w:num w:numId="3">
    <w:abstractNumId w:val="3"/>
  </w:num>
  <w:num w:numId="4">
    <w:abstractNumId w:val="2"/>
  </w:num>
  <w:num w:numId="5">
    <w:abstractNumId w:val="10"/>
  </w:num>
  <w:num w:numId="6">
    <w:abstractNumId w:val="0"/>
  </w:num>
  <w:num w:numId="7">
    <w:abstractNumId w:val="5"/>
  </w:num>
  <w:num w:numId="8">
    <w:abstractNumId w:val="9"/>
  </w:num>
  <w:num w:numId="9">
    <w:abstractNumId w:val="1"/>
  </w:num>
  <w:num w:numId="10">
    <w:abstractNumId w:val="6"/>
  </w:num>
  <w:num w:numId="11">
    <w:abstractNumId w:val="8"/>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jAyNjQxNTIxMLewMDFV0lEKTi0uzszPAykwqgUAYlzUwCwAAAA="/>
  </w:docVars>
  <w:rsids>
    <w:rsidRoot w:val="00821398"/>
    <w:rsid w:val="00025A5B"/>
    <w:rsid w:val="00061EC2"/>
    <w:rsid w:val="00096450"/>
    <w:rsid w:val="000A079D"/>
    <w:rsid w:val="000E1B46"/>
    <w:rsid w:val="000F6CFC"/>
    <w:rsid w:val="0010040A"/>
    <w:rsid w:val="00115F48"/>
    <w:rsid w:val="0015449A"/>
    <w:rsid w:val="001833FD"/>
    <w:rsid w:val="001D13C0"/>
    <w:rsid w:val="00202C30"/>
    <w:rsid w:val="0023484D"/>
    <w:rsid w:val="00271DCF"/>
    <w:rsid w:val="00271E67"/>
    <w:rsid w:val="002B29FE"/>
    <w:rsid w:val="002B5806"/>
    <w:rsid w:val="0030569C"/>
    <w:rsid w:val="00343B29"/>
    <w:rsid w:val="003756BA"/>
    <w:rsid w:val="0039098E"/>
    <w:rsid w:val="003B055C"/>
    <w:rsid w:val="003F3B23"/>
    <w:rsid w:val="004139A8"/>
    <w:rsid w:val="00445DF4"/>
    <w:rsid w:val="004529D4"/>
    <w:rsid w:val="004645EF"/>
    <w:rsid w:val="0046723D"/>
    <w:rsid w:val="004B1982"/>
    <w:rsid w:val="00506BBE"/>
    <w:rsid w:val="00522D69"/>
    <w:rsid w:val="005A6E8F"/>
    <w:rsid w:val="005D1390"/>
    <w:rsid w:val="0060315B"/>
    <w:rsid w:val="006073BA"/>
    <w:rsid w:val="00614A82"/>
    <w:rsid w:val="006450DA"/>
    <w:rsid w:val="006711AF"/>
    <w:rsid w:val="00733013"/>
    <w:rsid w:val="007D0DD8"/>
    <w:rsid w:val="007D0FFF"/>
    <w:rsid w:val="007F46E5"/>
    <w:rsid w:val="007F51D9"/>
    <w:rsid w:val="00812712"/>
    <w:rsid w:val="00821398"/>
    <w:rsid w:val="008D2EAB"/>
    <w:rsid w:val="008F0E62"/>
    <w:rsid w:val="00901098"/>
    <w:rsid w:val="00913C74"/>
    <w:rsid w:val="00932758"/>
    <w:rsid w:val="009705E9"/>
    <w:rsid w:val="0099494E"/>
    <w:rsid w:val="009D1074"/>
    <w:rsid w:val="00A63183"/>
    <w:rsid w:val="00A72760"/>
    <w:rsid w:val="00A860A2"/>
    <w:rsid w:val="00AE45DB"/>
    <w:rsid w:val="00B0504F"/>
    <w:rsid w:val="00B16F08"/>
    <w:rsid w:val="00B17DA9"/>
    <w:rsid w:val="00B34E22"/>
    <w:rsid w:val="00B67EFD"/>
    <w:rsid w:val="00BB067E"/>
    <w:rsid w:val="00BD2692"/>
    <w:rsid w:val="00CD19D7"/>
    <w:rsid w:val="00CE282C"/>
    <w:rsid w:val="00DA7D75"/>
    <w:rsid w:val="00DC2491"/>
    <w:rsid w:val="00DC2E32"/>
    <w:rsid w:val="00DE5FA6"/>
    <w:rsid w:val="00E170B5"/>
    <w:rsid w:val="00E52EDC"/>
    <w:rsid w:val="00E66B1A"/>
    <w:rsid w:val="00ED442E"/>
    <w:rsid w:val="00F06CE2"/>
    <w:rsid w:val="00F40044"/>
    <w:rsid w:val="00FF2F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3F5B3AE"/>
  <w15:chartTrackingRefBased/>
  <w15:docId w15:val="{591216BE-0F97-4719-8CCA-83BCFF58A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821398"/>
    <w:pPr>
      <w:widowControl w:val="0"/>
      <w:autoSpaceDE w:val="0"/>
      <w:autoSpaceDN w:val="0"/>
      <w:spacing w:before="93" w:after="0" w:line="240" w:lineRule="auto"/>
      <w:ind w:left="100"/>
      <w:outlineLvl w:val="0"/>
    </w:pPr>
    <w:rPr>
      <w:rFonts w:ascii="Century Gothic" w:eastAsia="Century Gothic" w:hAnsi="Century Gothic" w:cs="Century Gothic"/>
      <w:b/>
      <w:bCs/>
      <w:sz w:val="28"/>
      <w:szCs w:val="28"/>
    </w:rPr>
  </w:style>
  <w:style w:type="paragraph" w:styleId="Heading2">
    <w:name w:val="heading 2"/>
    <w:basedOn w:val="Normal"/>
    <w:next w:val="Normal"/>
    <w:link w:val="Heading2Char"/>
    <w:uiPriority w:val="9"/>
    <w:unhideWhenUsed/>
    <w:qFormat/>
    <w:rsid w:val="00B17DA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unhideWhenUsed/>
    <w:qFormat/>
    <w:rsid w:val="00821398"/>
    <w:pPr>
      <w:widowControl w:val="0"/>
      <w:autoSpaceDE w:val="0"/>
      <w:autoSpaceDN w:val="0"/>
      <w:spacing w:after="0" w:line="240" w:lineRule="auto"/>
      <w:ind w:left="1137" w:hanging="858"/>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821398"/>
    <w:pPr>
      <w:widowControl w:val="0"/>
      <w:autoSpaceDE w:val="0"/>
      <w:autoSpaceDN w:val="0"/>
      <w:spacing w:after="0" w:line="240" w:lineRule="auto"/>
    </w:pPr>
    <w:rPr>
      <w:rFonts w:ascii="Calibri" w:eastAsia="Calibri" w:hAnsi="Calibri" w:cs="Calibri"/>
      <w:sz w:val="20"/>
      <w:szCs w:val="20"/>
    </w:rPr>
  </w:style>
  <w:style w:type="character" w:customStyle="1" w:styleId="BodyTextChar">
    <w:name w:val="Body Text Char"/>
    <w:basedOn w:val="DefaultParagraphFont"/>
    <w:link w:val="BodyText"/>
    <w:uiPriority w:val="1"/>
    <w:rsid w:val="00821398"/>
    <w:rPr>
      <w:rFonts w:ascii="Calibri" w:eastAsia="Calibri" w:hAnsi="Calibri" w:cs="Calibri"/>
      <w:sz w:val="20"/>
      <w:szCs w:val="20"/>
    </w:rPr>
  </w:style>
  <w:style w:type="character" w:customStyle="1" w:styleId="Heading1Char">
    <w:name w:val="Heading 1 Char"/>
    <w:basedOn w:val="DefaultParagraphFont"/>
    <w:link w:val="Heading1"/>
    <w:uiPriority w:val="9"/>
    <w:rsid w:val="00821398"/>
    <w:rPr>
      <w:rFonts w:ascii="Century Gothic" w:eastAsia="Century Gothic" w:hAnsi="Century Gothic" w:cs="Century Gothic"/>
      <w:b/>
      <w:bCs/>
      <w:sz w:val="28"/>
      <w:szCs w:val="28"/>
    </w:rPr>
  </w:style>
  <w:style w:type="character" w:customStyle="1" w:styleId="Heading3Char">
    <w:name w:val="Heading 3 Char"/>
    <w:basedOn w:val="DefaultParagraphFont"/>
    <w:link w:val="Heading3"/>
    <w:uiPriority w:val="9"/>
    <w:rsid w:val="00821398"/>
    <w:rPr>
      <w:rFonts w:ascii="Arial" w:eastAsia="Arial" w:hAnsi="Arial" w:cs="Arial"/>
      <w:b/>
      <w:bCs/>
      <w:sz w:val="20"/>
      <w:szCs w:val="20"/>
    </w:rPr>
  </w:style>
  <w:style w:type="character" w:styleId="Hyperlink">
    <w:name w:val="Hyperlink"/>
    <w:basedOn w:val="DefaultParagraphFont"/>
    <w:uiPriority w:val="99"/>
    <w:unhideWhenUsed/>
    <w:rsid w:val="00821398"/>
    <w:rPr>
      <w:color w:val="0000FF"/>
      <w:u w:val="single"/>
    </w:rPr>
  </w:style>
  <w:style w:type="character" w:styleId="UnresolvedMention">
    <w:name w:val="Unresolved Mention"/>
    <w:basedOn w:val="DefaultParagraphFont"/>
    <w:uiPriority w:val="99"/>
    <w:semiHidden/>
    <w:unhideWhenUsed/>
    <w:rsid w:val="00821398"/>
    <w:rPr>
      <w:color w:val="605E5C"/>
      <w:shd w:val="clear" w:color="auto" w:fill="E1DFDD"/>
    </w:rPr>
  </w:style>
  <w:style w:type="table" w:styleId="TableGrid">
    <w:name w:val="Table Grid"/>
    <w:basedOn w:val="TableNormal"/>
    <w:uiPriority w:val="39"/>
    <w:rsid w:val="00271E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71E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1E67"/>
  </w:style>
  <w:style w:type="paragraph" w:styleId="Footer">
    <w:name w:val="footer"/>
    <w:basedOn w:val="Normal"/>
    <w:link w:val="FooterChar"/>
    <w:uiPriority w:val="99"/>
    <w:unhideWhenUsed/>
    <w:rsid w:val="00271E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1E67"/>
  </w:style>
  <w:style w:type="paragraph" w:styleId="ListParagraph">
    <w:name w:val="List Paragraph"/>
    <w:basedOn w:val="Normal"/>
    <w:uiPriority w:val="1"/>
    <w:qFormat/>
    <w:rsid w:val="00271E67"/>
    <w:pPr>
      <w:widowControl w:val="0"/>
      <w:autoSpaceDE w:val="0"/>
      <w:autoSpaceDN w:val="0"/>
      <w:spacing w:before="41" w:after="0" w:line="240" w:lineRule="auto"/>
      <w:ind w:left="1137" w:hanging="858"/>
    </w:pPr>
    <w:rPr>
      <w:rFonts w:ascii="Calibri" w:eastAsia="Calibri" w:hAnsi="Calibri" w:cs="Calibri"/>
    </w:rPr>
  </w:style>
  <w:style w:type="paragraph" w:customStyle="1" w:styleId="TableParagraph">
    <w:name w:val="Table Paragraph"/>
    <w:basedOn w:val="Normal"/>
    <w:uiPriority w:val="1"/>
    <w:qFormat/>
    <w:rsid w:val="00115F48"/>
    <w:pPr>
      <w:widowControl w:val="0"/>
      <w:autoSpaceDE w:val="0"/>
      <w:autoSpaceDN w:val="0"/>
      <w:spacing w:after="0" w:line="240" w:lineRule="auto"/>
    </w:pPr>
    <w:rPr>
      <w:rFonts w:ascii="Calibri" w:eastAsia="Calibri" w:hAnsi="Calibri" w:cs="Calibri"/>
    </w:rPr>
  </w:style>
  <w:style w:type="character" w:styleId="FollowedHyperlink">
    <w:name w:val="FollowedHyperlink"/>
    <w:basedOn w:val="DefaultParagraphFont"/>
    <w:uiPriority w:val="99"/>
    <w:semiHidden/>
    <w:unhideWhenUsed/>
    <w:rsid w:val="00E170B5"/>
    <w:rPr>
      <w:color w:val="954F72" w:themeColor="followedHyperlink"/>
      <w:u w:val="single"/>
    </w:rPr>
  </w:style>
  <w:style w:type="paragraph" w:styleId="TOCHeading">
    <w:name w:val="TOC Heading"/>
    <w:basedOn w:val="Heading1"/>
    <w:next w:val="Normal"/>
    <w:uiPriority w:val="39"/>
    <w:unhideWhenUsed/>
    <w:qFormat/>
    <w:rsid w:val="00B17DA9"/>
    <w:pPr>
      <w:keepNext/>
      <w:keepLines/>
      <w:widowControl/>
      <w:autoSpaceDE/>
      <w:autoSpaceDN/>
      <w:spacing w:before="240" w:line="259" w:lineRule="auto"/>
      <w:ind w:left="0"/>
      <w:outlineLvl w:val="9"/>
    </w:pPr>
    <w:rPr>
      <w:rFonts w:asciiTheme="majorHAnsi" w:eastAsiaTheme="majorEastAsia" w:hAnsiTheme="majorHAnsi" w:cstheme="majorBidi"/>
      <w:b w:val="0"/>
      <w:bCs w:val="0"/>
      <w:color w:val="2F5496" w:themeColor="accent1" w:themeShade="BF"/>
      <w:sz w:val="32"/>
      <w:szCs w:val="32"/>
    </w:rPr>
  </w:style>
  <w:style w:type="paragraph" w:styleId="TOC1">
    <w:name w:val="toc 1"/>
    <w:basedOn w:val="Normal"/>
    <w:next w:val="Normal"/>
    <w:autoRedefine/>
    <w:uiPriority w:val="39"/>
    <w:unhideWhenUsed/>
    <w:rsid w:val="00A63183"/>
    <w:pPr>
      <w:tabs>
        <w:tab w:val="right" w:leader="dot" w:pos="9990"/>
      </w:tabs>
      <w:spacing w:after="100"/>
    </w:pPr>
  </w:style>
  <w:style w:type="paragraph" w:styleId="TOC3">
    <w:name w:val="toc 3"/>
    <w:basedOn w:val="Normal"/>
    <w:next w:val="Normal"/>
    <w:autoRedefine/>
    <w:uiPriority w:val="39"/>
    <w:unhideWhenUsed/>
    <w:rsid w:val="00B17DA9"/>
    <w:pPr>
      <w:spacing w:after="100"/>
      <w:ind w:left="440"/>
    </w:pPr>
  </w:style>
  <w:style w:type="character" w:customStyle="1" w:styleId="Heading2Char">
    <w:name w:val="Heading 2 Char"/>
    <w:basedOn w:val="DefaultParagraphFont"/>
    <w:link w:val="Heading2"/>
    <w:uiPriority w:val="9"/>
    <w:rsid w:val="00B17DA9"/>
    <w:rPr>
      <w:rFonts w:asciiTheme="majorHAnsi" w:eastAsiaTheme="majorEastAsia" w:hAnsiTheme="majorHAnsi" w:cstheme="majorBidi"/>
      <w:color w:val="2F5496" w:themeColor="accent1" w:themeShade="BF"/>
      <w:sz w:val="26"/>
      <w:szCs w:val="26"/>
    </w:rPr>
  </w:style>
  <w:style w:type="paragraph" w:styleId="TOC2">
    <w:name w:val="toc 2"/>
    <w:basedOn w:val="Normal"/>
    <w:next w:val="Normal"/>
    <w:autoRedefine/>
    <w:uiPriority w:val="39"/>
    <w:unhideWhenUsed/>
    <w:rsid w:val="00B17DA9"/>
    <w:pPr>
      <w:spacing w:after="100"/>
      <w:ind w:left="220"/>
    </w:pPr>
  </w:style>
  <w:style w:type="paragraph" w:styleId="NormalWeb">
    <w:name w:val="Normal (Web)"/>
    <w:basedOn w:val="Normal"/>
    <w:uiPriority w:val="99"/>
    <w:semiHidden/>
    <w:unhideWhenUsed/>
    <w:rsid w:val="00F06CE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06CE2"/>
    <w:rPr>
      <w:b/>
      <w:bCs/>
    </w:rPr>
  </w:style>
  <w:style w:type="character" w:styleId="Emphasis">
    <w:name w:val="Emphasis"/>
    <w:basedOn w:val="DefaultParagraphFont"/>
    <w:uiPriority w:val="20"/>
    <w:qFormat/>
    <w:rsid w:val="00F06CE2"/>
    <w:rPr>
      <w:i/>
      <w:iCs/>
    </w:rPr>
  </w:style>
  <w:style w:type="paragraph" w:styleId="BalloonText">
    <w:name w:val="Balloon Text"/>
    <w:basedOn w:val="Normal"/>
    <w:link w:val="BalloonTextChar"/>
    <w:uiPriority w:val="99"/>
    <w:semiHidden/>
    <w:unhideWhenUsed/>
    <w:rsid w:val="00522D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2D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ederalreserve.gov/releases/g19/current/default.htm"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ongress.gov/bill/116th-congress/house-bill/748/text" TargetMode="Externa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yperlink" Target="https://www.congress.gov/bill/116th-congress/house-bill/1043/tex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ed.gov/news/press-releases/delivering-president-trumps-promise-secretary-devos-suspends-federal-student-loan-payments-waives-interest-during-national-emergency"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scode.house.gov/view.xhtml?req=(title:26%20section:127%20edition:preli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s://benefitadvisorsnetwor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729439E436CE54C97F409C77B78E75D" ma:contentTypeVersion="10" ma:contentTypeDescription="Create a new document." ma:contentTypeScope="" ma:versionID="8d607b4929c53d05bcb48cb94b455681">
  <xsd:schema xmlns:xsd="http://www.w3.org/2001/XMLSchema" xmlns:xs="http://www.w3.org/2001/XMLSchema" xmlns:p="http://schemas.microsoft.com/office/2006/metadata/properties" xmlns:ns3="ba564158-f2e7-40db-967b-ff577aee6386" targetNamespace="http://schemas.microsoft.com/office/2006/metadata/properties" ma:root="true" ma:fieldsID="6e1f04a76d63d460122d8a5d747dd09c" ns3:_="">
    <xsd:import namespace="ba564158-f2e7-40db-967b-ff577aee638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564158-f2e7-40db-967b-ff577aee63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DBC172-9627-4675-B6A8-08FE5D038716}">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ba564158-f2e7-40db-967b-ff577aee6386"/>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A7F7E491-803D-44D3-8B7B-3429068605E7}">
  <ds:schemaRefs>
    <ds:schemaRef ds:uri="http://schemas.microsoft.com/sharepoint/v3/contenttype/forms"/>
  </ds:schemaRefs>
</ds:datastoreItem>
</file>

<file path=customXml/itemProps3.xml><?xml version="1.0" encoding="utf-8"?>
<ds:datastoreItem xmlns:ds="http://schemas.openxmlformats.org/officeDocument/2006/customXml" ds:itemID="{DF7B5599-220F-4EDD-A76C-14CA50F559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564158-f2e7-40db-967b-ff577aee63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8AC281F-6FD7-4F43-8616-8C8828F74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1078</Words>
  <Characters>6150</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BAN 632 HCM Alert CARES 1 - Tax-Free Student Loan Repayment Plans</vt:lpstr>
    </vt:vector>
  </TitlesOfParts>
  <Company/>
  <LinksUpToDate>false</LinksUpToDate>
  <CharactersWithSpaces>7214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 632 HCM Alert CARES 1 - Tax-Free Student Loan Repayment Plans</dc:title>
  <dc:subject/>
  <dc:creator>Caroline Williams</dc:creator>
  <cp:keywords/>
  <dc:description/>
  <cp:lastModifiedBy>Betsy Kamler</cp:lastModifiedBy>
  <cp:revision>2</cp:revision>
  <cp:lastPrinted>2020-03-10T19:17:00Z</cp:lastPrinted>
  <dcterms:created xsi:type="dcterms:W3CDTF">2020-04-03T14:34:00Z</dcterms:created>
  <dcterms:modified xsi:type="dcterms:W3CDTF">2020-04-03T14:34:00Z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0x0101008729439E436CE54C97F409C77B78E75D</vt:lpwstr>
  </property>
</Properties>
</file>