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6064"/>
        <w:gridCol w:w="4310"/>
      </w:tblGrid>
      <w:tr w:rsidR="00F77646" w:rsidRPr="005575A0" w14:paraId="4D72B258" w14:textId="77777777" w:rsidTr="0042495A">
        <w:trPr>
          <w:trHeight w:val="1263"/>
        </w:trPr>
        <w:tc>
          <w:tcPr>
            <w:tcW w:w="6267" w:type="dxa"/>
          </w:tcPr>
          <w:p w14:paraId="73337DE8" w14:textId="3CDC2177" w:rsidR="00EC334C" w:rsidRPr="005575A0" w:rsidRDefault="00EC334C">
            <w:pPr>
              <w:rPr>
                <w:rFonts w:cstheme="minorHAnsi"/>
              </w:rPr>
            </w:pPr>
            <w:r w:rsidRPr="005575A0">
              <w:rPr>
                <w:rFonts w:cstheme="minorHAnsi"/>
                <w:noProof/>
              </w:rPr>
              <w:drawing>
                <wp:inline distT="0" distB="0" distL="0" distR="0" wp14:anchorId="63FC9BCF" wp14:editId="3EF75799">
                  <wp:extent cx="1685925" cy="768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791" cy="777324"/>
                          </a:xfrm>
                          <a:prstGeom prst="rect">
                            <a:avLst/>
                          </a:prstGeom>
                        </pic:spPr>
                      </pic:pic>
                    </a:graphicData>
                  </a:graphic>
                </wp:inline>
              </w:drawing>
            </w:r>
          </w:p>
        </w:tc>
        <w:tc>
          <w:tcPr>
            <w:tcW w:w="4107" w:type="dxa"/>
            <w:vAlign w:val="bottom"/>
          </w:tcPr>
          <w:p w14:paraId="19723547" w14:textId="455EA41A" w:rsidR="00EC334C" w:rsidRPr="00033935" w:rsidRDefault="00F77646" w:rsidP="00EC334C">
            <w:pPr>
              <w:jc w:val="right"/>
              <w:rPr>
                <w:rFonts w:ascii="Arial" w:hAnsi="Arial" w:cs="Arial"/>
                <w:color w:val="006EB7"/>
                <w:sz w:val="20"/>
                <w:szCs w:val="20"/>
              </w:rPr>
            </w:pPr>
            <w:r>
              <w:rPr>
                <w:noProof/>
              </w:rPr>
              <w:drawing>
                <wp:inline distT="0" distB="0" distL="0" distR="0" wp14:anchorId="757F647B" wp14:editId="11339D84">
                  <wp:extent cx="2584450" cy="53443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0243" cy="548044"/>
                          </a:xfrm>
                          <a:prstGeom prst="rect">
                            <a:avLst/>
                          </a:prstGeom>
                          <a:noFill/>
                          <a:ln>
                            <a:noFill/>
                          </a:ln>
                        </pic:spPr>
                      </pic:pic>
                    </a:graphicData>
                  </a:graphic>
                </wp:inline>
              </w:drawing>
            </w:r>
          </w:p>
        </w:tc>
      </w:tr>
      <w:tr w:rsidR="00EC334C" w:rsidRPr="005575A0" w14:paraId="18FC2383" w14:textId="77777777" w:rsidTr="0042495A">
        <w:trPr>
          <w:trHeight w:val="1263"/>
        </w:trPr>
        <w:tc>
          <w:tcPr>
            <w:tcW w:w="10374" w:type="dxa"/>
            <w:gridSpan w:val="2"/>
            <w:tcBorders>
              <w:bottom w:val="nil"/>
            </w:tcBorders>
          </w:tcPr>
          <w:p w14:paraId="1B6BFE01" w14:textId="380ACE6A" w:rsidR="00EC334C" w:rsidRPr="005575A0" w:rsidRDefault="00EC334C">
            <w:pPr>
              <w:rPr>
                <w:rFonts w:cstheme="minorHAnsi"/>
              </w:rPr>
            </w:pPr>
          </w:p>
        </w:tc>
      </w:tr>
      <w:tr w:rsidR="000E4673" w:rsidRPr="000E4673" w14:paraId="67E1D969" w14:textId="77777777" w:rsidTr="0042495A">
        <w:trPr>
          <w:trHeight w:val="1263"/>
        </w:trPr>
        <w:tc>
          <w:tcPr>
            <w:tcW w:w="10374" w:type="dxa"/>
            <w:gridSpan w:val="2"/>
            <w:tcBorders>
              <w:top w:val="nil"/>
              <w:left w:val="nil"/>
              <w:bottom w:val="nil"/>
              <w:right w:val="nil"/>
            </w:tcBorders>
          </w:tcPr>
          <w:p w14:paraId="572D638B" w14:textId="75A2FA11" w:rsidR="0042495A" w:rsidRPr="00F77646" w:rsidRDefault="00F77646" w:rsidP="0042495A">
            <w:pPr>
              <w:rPr>
                <w:rFonts w:ascii="Arial" w:hAnsi="Arial" w:cs="Arial"/>
                <w:color w:val="000000" w:themeColor="text1"/>
                <w:sz w:val="20"/>
                <w:szCs w:val="20"/>
              </w:rPr>
            </w:pPr>
            <w:r w:rsidRPr="00F77646">
              <w:rPr>
                <w:rFonts w:ascii="Arial" w:hAnsi="Arial" w:cs="Arial"/>
                <w:color w:val="000000" w:themeColor="text1"/>
                <w:sz w:val="20"/>
                <w:szCs w:val="20"/>
              </w:rPr>
              <w:t xml:space="preserve">March 23, 2020   </w:t>
            </w:r>
            <w:proofErr w:type="gramStart"/>
            <w:r w:rsidRPr="00F77646">
              <w:rPr>
                <w:rFonts w:ascii="Arial" w:hAnsi="Arial" w:cs="Arial"/>
                <w:color w:val="000000" w:themeColor="text1"/>
                <w:sz w:val="20"/>
                <w:szCs w:val="20"/>
              </w:rPr>
              <w:t>|  LEGAL</w:t>
            </w:r>
            <w:proofErr w:type="gramEnd"/>
            <w:r w:rsidRPr="00F77646">
              <w:rPr>
                <w:rFonts w:ascii="Arial" w:hAnsi="Arial" w:cs="Arial"/>
                <w:color w:val="000000" w:themeColor="text1"/>
                <w:sz w:val="20"/>
                <w:szCs w:val="20"/>
              </w:rPr>
              <w:t xml:space="preserve"> ALERT</w:t>
            </w:r>
          </w:p>
          <w:p w14:paraId="1578B9E5" w14:textId="77A8FBE1" w:rsidR="000E4673" w:rsidRPr="00F77646" w:rsidRDefault="000E4673" w:rsidP="000E4673">
            <w:pPr>
              <w:pStyle w:val="Heading1"/>
              <w:shd w:val="clear" w:color="auto" w:fill="FFFFFF"/>
              <w:spacing w:before="150" w:beforeAutospacing="0" w:after="150" w:afterAutospacing="0"/>
              <w:outlineLvl w:val="0"/>
              <w:rPr>
                <w:rFonts w:ascii="Arial" w:hAnsi="Arial" w:cs="Arial"/>
                <w:color w:val="7030A0"/>
                <w:sz w:val="28"/>
                <w:szCs w:val="28"/>
              </w:rPr>
            </w:pPr>
            <w:r w:rsidRPr="00F77646">
              <w:rPr>
                <w:rFonts w:ascii="Arial" w:hAnsi="Arial" w:cs="Arial"/>
                <w:color w:val="7030A0"/>
                <w:sz w:val="28"/>
                <w:szCs w:val="28"/>
              </w:rPr>
              <w:t>Notice Requirements When Making Health Plan Design Changes</w:t>
            </w:r>
          </w:p>
          <w:p w14:paraId="0640E138" w14:textId="77777777" w:rsidR="00F77646" w:rsidRDefault="00F77646" w:rsidP="000E4673">
            <w:pPr>
              <w:pStyle w:val="NormalWeb"/>
              <w:shd w:val="clear" w:color="auto" w:fill="FFFFFF"/>
              <w:spacing w:before="0" w:beforeAutospacing="0" w:after="150" w:afterAutospacing="0"/>
              <w:rPr>
                <w:rFonts w:ascii="Arial" w:hAnsi="Arial" w:cs="Arial"/>
                <w:color w:val="auto"/>
              </w:rPr>
            </w:pPr>
          </w:p>
          <w:p w14:paraId="1D060986" w14:textId="042E7B67" w:rsidR="000E4673" w:rsidRPr="000E4673" w:rsidRDefault="000E4673" w:rsidP="000E4673">
            <w:pPr>
              <w:pStyle w:val="NormalWeb"/>
              <w:shd w:val="clear" w:color="auto" w:fill="FFFFFF"/>
              <w:spacing w:before="0" w:beforeAutospacing="0" w:after="150" w:afterAutospacing="0"/>
              <w:rPr>
                <w:rFonts w:ascii="Arial" w:hAnsi="Arial" w:cs="Arial"/>
                <w:color w:val="auto"/>
              </w:rPr>
            </w:pPr>
            <w:bookmarkStart w:id="0" w:name="_GoBack"/>
            <w:bookmarkEnd w:id="0"/>
            <w:r w:rsidRPr="000E4673">
              <w:rPr>
                <w:rFonts w:ascii="Arial" w:hAnsi="Arial" w:cs="Arial"/>
                <w:color w:val="auto"/>
              </w:rPr>
              <w:t>As employers work to stay financially solvent during the COVID-19 pandemic, many are looking to change their health plan designs in order to ensure employees have access to the care they need while balancing the financial impact on the business. The type of change contemplated dictates when notice must be given to employees.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8"/>
              <w:gridCol w:w="4210"/>
              <w:gridCol w:w="2030"/>
            </w:tblGrid>
            <w:tr w:rsidR="000E4673" w:rsidRPr="00B85E46" w14:paraId="1008A517" w14:textId="77777777" w:rsidTr="000E4673">
              <w:trPr>
                <w:trHeight w:val="42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A81002"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Style w:val="Strong"/>
                      <w:rFonts w:ascii="Arial" w:hAnsi="Arial" w:cs="Arial"/>
                      <w:color w:val="auto"/>
                      <w:sz w:val="22"/>
                      <w:szCs w:val="22"/>
                    </w:rPr>
                    <w:t>Type of Change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7AC44A"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Style w:val="Strong"/>
                      <w:rFonts w:ascii="Arial" w:hAnsi="Arial" w:cs="Arial"/>
                      <w:color w:val="auto"/>
                      <w:sz w:val="22"/>
                      <w:szCs w:val="22"/>
                    </w:rPr>
                    <w:t>Notice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C92121"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Style w:val="Strong"/>
                      <w:rFonts w:ascii="Arial" w:hAnsi="Arial" w:cs="Arial"/>
                      <w:color w:val="auto"/>
                      <w:sz w:val="22"/>
                      <w:szCs w:val="22"/>
                    </w:rPr>
                    <w:t>Which Plans</w:t>
                  </w:r>
                </w:p>
              </w:tc>
            </w:tr>
            <w:tr w:rsidR="000E4673" w:rsidRPr="00B85E46" w14:paraId="4B1C44C4" w14:textId="77777777" w:rsidTr="000E46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B21C60" w14:textId="58A4F64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Changes to any information found in the Summary of Benefits and Coverage (</w:t>
                  </w:r>
                  <w:hyperlink r:id="rId10" w:history="1">
                    <w:r w:rsidRPr="00B85E46">
                      <w:rPr>
                        <w:rStyle w:val="Hyperlink"/>
                        <w:rFonts w:ascii="Arial" w:hAnsi="Arial" w:cs="Arial"/>
                        <w:color w:val="006EB7"/>
                        <w:sz w:val="22"/>
                        <w:szCs w:val="22"/>
                      </w:rPr>
                      <w:t>SBC</w:t>
                    </w:r>
                  </w:hyperlink>
                  <w:r w:rsidRPr="00B85E46">
                    <w:rPr>
                      <w:rFonts w:ascii="Arial" w:hAnsi="Arial" w:cs="Arial"/>
                      <w:color w:val="auto"/>
                      <w:sz w:val="22"/>
                      <w:szCs w:val="22"/>
                    </w:rPr>
                    <w:t>) which includes deductibles, out of pocket limits, whether or not referrals are needed for specialists, copays, coinsurance, whether or not preauthorization is needed, services the plan does not cover, and what additional services are covered by your plan.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F7717A"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Prior to implementing any change that would require an updated SBC, plan participants must be given 60 days </w:t>
                  </w:r>
                  <w:r w:rsidRPr="00B85E46">
                    <w:rPr>
                      <w:rStyle w:val="Strong"/>
                      <w:rFonts w:ascii="Arial" w:hAnsi="Arial" w:cs="Arial"/>
                      <w:color w:val="auto"/>
                      <w:sz w:val="22"/>
                      <w:szCs w:val="22"/>
                    </w:rPr>
                    <w:t>advance </w:t>
                  </w:r>
                  <w:r w:rsidRPr="00B85E46">
                    <w:rPr>
                      <w:rFonts w:ascii="Arial" w:hAnsi="Arial" w:cs="Arial"/>
                      <w:color w:val="auto"/>
                      <w:sz w:val="22"/>
                      <w:szCs w:val="22"/>
                    </w:rPr>
                    <w:t>notice in the form of an updated SBC. This is a firm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C95705"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 xml:space="preserve">This notice requirement is for ALL group health plans, regardless of </w:t>
                  </w:r>
                  <w:proofErr w:type="gramStart"/>
                  <w:r w:rsidRPr="00B85E46">
                    <w:rPr>
                      <w:rFonts w:ascii="Arial" w:hAnsi="Arial" w:cs="Arial"/>
                      <w:color w:val="auto"/>
                      <w:sz w:val="22"/>
                      <w:szCs w:val="22"/>
                    </w:rPr>
                    <w:t>whether or not</w:t>
                  </w:r>
                  <w:proofErr w:type="gramEnd"/>
                  <w:r w:rsidRPr="00B85E46">
                    <w:rPr>
                      <w:rFonts w:ascii="Arial" w:hAnsi="Arial" w:cs="Arial"/>
                      <w:color w:val="auto"/>
                      <w:sz w:val="22"/>
                      <w:szCs w:val="22"/>
                    </w:rPr>
                    <w:t xml:space="preserve"> they are subject to ERISA.</w:t>
                  </w:r>
                </w:p>
              </w:tc>
            </w:tr>
            <w:tr w:rsidR="000E4673" w:rsidRPr="00B85E46" w14:paraId="059FC431" w14:textId="77777777" w:rsidTr="000E46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86E6E7"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Modifications to a summary plan description (SPD) that constitute a material reduction in covered services or benefits. For example, a decrease in employer contributions, or a material modification to plan terms.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54DB46" w14:textId="370FEBC9"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Notice must be provided within 60 days of making the change. Practically speaking, employers should strive to give notice prior to making the change, but under ERISA, they have until 60 days after the change to inform employees. Notice should be provided in the format of a </w:t>
                  </w:r>
                  <w:hyperlink r:id="rId11" w:history="1">
                    <w:r w:rsidRPr="00B85E46">
                      <w:rPr>
                        <w:rStyle w:val="Hyperlink"/>
                        <w:rFonts w:ascii="Arial" w:hAnsi="Arial" w:cs="Arial"/>
                        <w:color w:val="006EB7"/>
                        <w:sz w:val="22"/>
                        <w:szCs w:val="22"/>
                      </w:rPr>
                      <w:t>Notice of Material Modification</w:t>
                    </w:r>
                  </w:hyperlink>
                  <w:r w:rsidRPr="00B85E46">
                    <w:rPr>
                      <w:rFonts w:ascii="Arial" w:hAnsi="Arial" w:cs="Arial"/>
                      <w:color w:val="auto"/>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6CDE79"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This notice requirement is only for group health plans subject to ERISA.</w:t>
                  </w:r>
                </w:p>
              </w:tc>
            </w:tr>
            <w:tr w:rsidR="000E4673" w:rsidRPr="00B85E46" w14:paraId="13A2A09E" w14:textId="77777777" w:rsidTr="000E46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36456B"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All other changes (not a material reduction in benefits and no impact on the SBC)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120DDD" w14:textId="52B33694"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Notice must be provided within 210 days after the end of the plan year, in the format of a </w:t>
                  </w:r>
                  <w:hyperlink r:id="rId12" w:history="1">
                    <w:r w:rsidRPr="00B85E46">
                      <w:rPr>
                        <w:rStyle w:val="Hyperlink"/>
                        <w:rFonts w:ascii="Arial" w:hAnsi="Arial" w:cs="Arial"/>
                        <w:color w:val="006EB7"/>
                        <w:sz w:val="22"/>
                        <w:szCs w:val="22"/>
                      </w:rPr>
                      <w:t>Notice of Material Modification.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AA91A7" w14:textId="77777777" w:rsidR="000E4673" w:rsidRPr="00B85E46" w:rsidRDefault="000E4673" w:rsidP="000E4673">
                  <w:pPr>
                    <w:pStyle w:val="NormalWeb"/>
                    <w:spacing w:before="0" w:beforeAutospacing="0" w:after="150" w:afterAutospacing="0"/>
                    <w:rPr>
                      <w:rFonts w:ascii="Arial" w:hAnsi="Arial" w:cs="Arial"/>
                      <w:color w:val="auto"/>
                      <w:sz w:val="22"/>
                      <w:szCs w:val="22"/>
                    </w:rPr>
                  </w:pPr>
                  <w:r w:rsidRPr="00B85E46">
                    <w:rPr>
                      <w:rFonts w:ascii="Arial" w:hAnsi="Arial" w:cs="Arial"/>
                      <w:color w:val="auto"/>
                      <w:sz w:val="22"/>
                      <w:szCs w:val="22"/>
                    </w:rPr>
                    <w:t>This notice requirement is only for group health plans subject to ERISA.</w:t>
                  </w:r>
                </w:p>
              </w:tc>
            </w:tr>
          </w:tbl>
          <w:p w14:paraId="60F88512" w14:textId="77777777" w:rsidR="000E4673" w:rsidRPr="000E4673" w:rsidRDefault="000E4673" w:rsidP="000E4673">
            <w:pPr>
              <w:pStyle w:val="NormalWeb"/>
              <w:shd w:val="clear" w:color="auto" w:fill="FFFFFF"/>
              <w:spacing w:before="0" w:beforeAutospacing="0" w:after="150" w:afterAutospacing="0"/>
              <w:rPr>
                <w:rFonts w:ascii="Arial" w:hAnsi="Arial" w:cs="Arial"/>
                <w:color w:val="auto"/>
              </w:rPr>
            </w:pPr>
            <w:r w:rsidRPr="000E4673">
              <w:rPr>
                <w:rFonts w:ascii="Arial" w:hAnsi="Arial" w:cs="Arial"/>
                <w:color w:val="auto"/>
              </w:rPr>
              <w:t> </w:t>
            </w:r>
          </w:p>
          <w:p w14:paraId="3915DBCE" w14:textId="77777777" w:rsidR="000E4673" w:rsidRPr="000E4673" w:rsidRDefault="000E4673" w:rsidP="000E4673">
            <w:pPr>
              <w:pStyle w:val="NormalWeb"/>
              <w:shd w:val="clear" w:color="auto" w:fill="FFFFFF"/>
              <w:spacing w:before="0" w:beforeAutospacing="0" w:after="150" w:afterAutospacing="0"/>
              <w:rPr>
                <w:rFonts w:ascii="Arial" w:hAnsi="Arial" w:cs="Arial"/>
                <w:color w:val="auto"/>
              </w:rPr>
            </w:pPr>
            <w:proofErr w:type="gramStart"/>
            <w:r w:rsidRPr="000E4673">
              <w:rPr>
                <w:rFonts w:ascii="Arial" w:hAnsi="Arial" w:cs="Arial"/>
                <w:color w:val="auto"/>
              </w:rPr>
              <w:t>Assuming that</w:t>
            </w:r>
            <w:proofErr w:type="gramEnd"/>
            <w:r w:rsidRPr="000E4673">
              <w:rPr>
                <w:rFonts w:ascii="Arial" w:hAnsi="Arial" w:cs="Arial"/>
                <w:color w:val="auto"/>
              </w:rPr>
              <w:t xml:space="preserve"> these changes occur mid-year and that the employer has a Section 125 Plan so that employee contributions are handled on a pre-tax basis, then if the employer were to change benefits and/or contributions, the employee could:</w:t>
            </w:r>
          </w:p>
          <w:p w14:paraId="169E46A1" w14:textId="77777777" w:rsidR="000E4673" w:rsidRPr="000E4673" w:rsidRDefault="000E4673" w:rsidP="000E4673">
            <w:pPr>
              <w:numPr>
                <w:ilvl w:val="0"/>
                <w:numId w:val="13"/>
              </w:numPr>
              <w:shd w:val="clear" w:color="auto" w:fill="FFFFFF"/>
              <w:spacing w:before="100" w:beforeAutospacing="1" w:after="100" w:afterAutospacing="1"/>
              <w:rPr>
                <w:rFonts w:ascii="Arial" w:hAnsi="Arial" w:cs="Arial"/>
              </w:rPr>
            </w:pPr>
            <w:r w:rsidRPr="000E4673">
              <w:rPr>
                <w:rFonts w:ascii="Arial" w:hAnsi="Arial" w:cs="Arial"/>
              </w:rPr>
              <w:t>Drop coverage for themselves and any covered dependents.</w:t>
            </w:r>
          </w:p>
          <w:p w14:paraId="51084B54" w14:textId="77777777" w:rsidR="000E4673" w:rsidRPr="000E4673" w:rsidRDefault="000E4673" w:rsidP="000E4673">
            <w:pPr>
              <w:numPr>
                <w:ilvl w:val="0"/>
                <w:numId w:val="13"/>
              </w:numPr>
              <w:shd w:val="clear" w:color="auto" w:fill="FFFFFF"/>
              <w:spacing w:before="100" w:beforeAutospacing="1" w:after="100" w:afterAutospacing="1"/>
              <w:rPr>
                <w:rFonts w:ascii="Arial" w:hAnsi="Arial" w:cs="Arial"/>
              </w:rPr>
            </w:pPr>
            <w:r w:rsidRPr="000E4673">
              <w:rPr>
                <w:rFonts w:ascii="Arial" w:hAnsi="Arial" w:cs="Arial"/>
              </w:rPr>
              <w:lastRenderedPageBreak/>
              <w:t>Not change which dependents are being covered, except to delete coverage for themselves and all covered dependents.</w:t>
            </w:r>
          </w:p>
          <w:p w14:paraId="463EC23D" w14:textId="77777777" w:rsidR="000E4673" w:rsidRPr="000E4673" w:rsidRDefault="000E4673" w:rsidP="000E4673">
            <w:pPr>
              <w:numPr>
                <w:ilvl w:val="0"/>
                <w:numId w:val="13"/>
              </w:numPr>
              <w:shd w:val="clear" w:color="auto" w:fill="FFFFFF"/>
              <w:spacing w:before="100" w:beforeAutospacing="1" w:after="100" w:afterAutospacing="1"/>
              <w:rPr>
                <w:rFonts w:ascii="Arial" w:hAnsi="Arial" w:cs="Arial"/>
              </w:rPr>
            </w:pPr>
            <w:r w:rsidRPr="000E4673">
              <w:rPr>
                <w:rFonts w:ascii="Arial" w:hAnsi="Arial" w:cs="Arial"/>
              </w:rPr>
              <w:t>At the employer’s decision, employees (and covered dependents) could choose a different plan option assuming more than one plan is offered.</w:t>
            </w:r>
          </w:p>
          <w:p w14:paraId="70AE6723" w14:textId="77777777" w:rsidR="000E4673" w:rsidRPr="000E4673" w:rsidRDefault="000E4673" w:rsidP="000E4673">
            <w:pPr>
              <w:pStyle w:val="NormalWeb"/>
              <w:shd w:val="clear" w:color="auto" w:fill="FFFFFF"/>
              <w:spacing w:before="0" w:beforeAutospacing="0" w:after="150" w:afterAutospacing="0"/>
              <w:rPr>
                <w:rFonts w:ascii="Arial" w:hAnsi="Arial" w:cs="Arial"/>
                <w:color w:val="auto"/>
              </w:rPr>
            </w:pPr>
            <w:r w:rsidRPr="000E4673">
              <w:rPr>
                <w:rFonts w:ascii="Arial" w:hAnsi="Arial" w:cs="Arial"/>
                <w:color w:val="auto"/>
              </w:rPr>
              <w:t>Mid-year changes in benefits and/or contributions would not trigger either a full or partial open enrollment.</w:t>
            </w:r>
          </w:p>
          <w:p w14:paraId="6DB7A6C5" w14:textId="77777777" w:rsidR="000E4673" w:rsidRPr="000E4673" w:rsidRDefault="000E4673" w:rsidP="000E4673">
            <w:pPr>
              <w:pStyle w:val="NormalWeb"/>
              <w:shd w:val="clear" w:color="auto" w:fill="FFFFFF"/>
              <w:spacing w:before="0" w:beforeAutospacing="0" w:after="150" w:afterAutospacing="0"/>
              <w:rPr>
                <w:rFonts w:ascii="Arial" w:hAnsi="Arial" w:cs="Arial"/>
                <w:color w:val="auto"/>
              </w:rPr>
            </w:pPr>
            <w:r w:rsidRPr="000E4673">
              <w:rPr>
                <w:rFonts w:ascii="Arial" w:hAnsi="Arial" w:cs="Arial"/>
                <w:color w:val="auto"/>
              </w:rPr>
              <w:t>If an employee’s spouse or dependent child under age 26 was to lose coverage due to a layoff or furlough at their employer, then this would be a change in status event that would allow the employee to add dependents onto their plan.</w:t>
            </w:r>
          </w:p>
          <w:p w14:paraId="3985B38D" w14:textId="77777777" w:rsidR="000E4673" w:rsidRPr="000E4673" w:rsidRDefault="000E4673" w:rsidP="000E4673">
            <w:pPr>
              <w:pStyle w:val="NormalWeb"/>
              <w:shd w:val="clear" w:color="auto" w:fill="FFFFFF"/>
              <w:spacing w:before="0" w:beforeAutospacing="0" w:after="150" w:afterAutospacing="0"/>
              <w:rPr>
                <w:rFonts w:ascii="Arial" w:hAnsi="Arial" w:cs="Arial"/>
                <w:color w:val="auto"/>
              </w:rPr>
            </w:pPr>
            <w:r w:rsidRPr="000E4673">
              <w:rPr>
                <w:rFonts w:ascii="Arial" w:hAnsi="Arial" w:cs="Arial"/>
                <w:color w:val="auto"/>
              </w:rPr>
              <w:t> </w:t>
            </w:r>
          </w:p>
          <w:p w14:paraId="0FF5E86A" w14:textId="6D6674EB" w:rsidR="0042495A" w:rsidRPr="000E4673" w:rsidRDefault="0042495A" w:rsidP="00F77646">
            <w:pPr>
              <w:pStyle w:val="NormalWeb"/>
              <w:shd w:val="clear" w:color="auto" w:fill="FFFFFF"/>
              <w:spacing w:before="0" w:beforeAutospacing="0" w:after="150" w:afterAutospacing="0"/>
              <w:rPr>
                <w:rFonts w:ascii="Arial" w:hAnsi="Arial" w:cs="Arial"/>
                <w:color w:val="auto"/>
                <w:sz w:val="18"/>
                <w:szCs w:val="18"/>
              </w:rPr>
            </w:pPr>
          </w:p>
        </w:tc>
      </w:tr>
      <w:tr w:rsidR="000E4673" w:rsidRPr="000E4673" w14:paraId="36E88A9C" w14:textId="77777777" w:rsidTr="0042495A">
        <w:trPr>
          <w:trHeight w:val="745"/>
        </w:trPr>
        <w:tc>
          <w:tcPr>
            <w:tcW w:w="10374" w:type="dxa"/>
            <w:gridSpan w:val="2"/>
            <w:tcBorders>
              <w:bottom w:val="nil"/>
            </w:tcBorders>
            <w:vAlign w:val="center"/>
          </w:tcPr>
          <w:p w14:paraId="54648153" w14:textId="77777777" w:rsidR="00E547EC" w:rsidRPr="000E4673" w:rsidRDefault="00E547EC" w:rsidP="00D53855">
            <w:pPr>
              <w:rPr>
                <w:rStyle w:val="Emphasis"/>
                <w:rFonts w:ascii="Arial" w:hAnsi="Arial" w:cs="Arial"/>
                <w:sz w:val="16"/>
                <w:szCs w:val="16"/>
              </w:rPr>
            </w:pPr>
            <w:bookmarkStart w:id="1" w:name="_Hlk502143664"/>
            <w:bookmarkEnd w:id="1"/>
          </w:p>
          <w:p w14:paraId="484EB641" w14:textId="2400F931" w:rsidR="005575A0" w:rsidRPr="000E4673" w:rsidRDefault="005575A0" w:rsidP="00D53855">
            <w:pPr>
              <w:rPr>
                <w:rStyle w:val="Emphasis"/>
                <w:rFonts w:ascii="Arial" w:hAnsi="Arial" w:cs="Arial"/>
                <w:sz w:val="16"/>
                <w:szCs w:val="16"/>
              </w:rPr>
            </w:pPr>
            <w:r w:rsidRPr="000E4673">
              <w:rPr>
                <w:rStyle w:val="Emphasis"/>
                <w:rFonts w:ascii="Arial" w:hAnsi="Arial" w:cs="Arial"/>
                <w:sz w:val="16"/>
                <w:szCs w:val="16"/>
              </w:rPr>
              <w:t xml:space="preserve">This email is a service to our clients and friends.  It is designed only to give general information on the developments </w:t>
            </w:r>
            <w:proofErr w:type="gramStart"/>
            <w:r w:rsidRPr="000E4673">
              <w:rPr>
                <w:rStyle w:val="Emphasis"/>
                <w:rFonts w:ascii="Arial" w:hAnsi="Arial" w:cs="Arial"/>
                <w:sz w:val="16"/>
                <w:szCs w:val="16"/>
              </w:rPr>
              <w:t>actually covered</w:t>
            </w:r>
            <w:proofErr w:type="gramEnd"/>
            <w:r w:rsidRPr="000E4673">
              <w:rPr>
                <w:rStyle w:val="Emphasis"/>
                <w:rFonts w:ascii="Arial" w:hAnsi="Arial" w:cs="Arial"/>
                <w:sz w:val="16"/>
                <w:szCs w:val="16"/>
              </w:rPr>
              <w:t>.  It is not intended to be a comprehensive summary of recent developments in the law, treat exhaustively the subjects covered, provide legal advice, or render a legal opinion.</w:t>
            </w:r>
          </w:p>
          <w:p w14:paraId="7BCBF58A" w14:textId="77777777" w:rsidR="005575A0" w:rsidRPr="000E4673" w:rsidRDefault="005575A0" w:rsidP="00D53855">
            <w:pPr>
              <w:rPr>
                <w:rStyle w:val="Emphasis"/>
                <w:rFonts w:ascii="Arial" w:hAnsi="Arial" w:cs="Arial"/>
                <w:sz w:val="16"/>
                <w:szCs w:val="16"/>
              </w:rPr>
            </w:pPr>
          </w:p>
          <w:p w14:paraId="450A4AE8" w14:textId="6C35C0C4" w:rsidR="005575A0" w:rsidRPr="000E4673" w:rsidRDefault="005575A0" w:rsidP="00D53855">
            <w:pPr>
              <w:rPr>
                <w:rStyle w:val="Emphasis"/>
                <w:rFonts w:ascii="Arial" w:hAnsi="Arial" w:cs="Arial"/>
                <w:sz w:val="16"/>
                <w:szCs w:val="16"/>
              </w:rPr>
            </w:pPr>
            <w:r w:rsidRPr="000E4673">
              <w:rPr>
                <w:rStyle w:val="Emphasis"/>
                <w:rFonts w:ascii="Arial" w:hAnsi="Arial" w:cs="Arial"/>
                <w:sz w:val="16"/>
                <w:szCs w:val="16"/>
              </w:rPr>
              <w:t>Benefit Advisors Network and its members are not attorneys and are not responsible for any legal advice.  To fully understand how this or any legal or compliance information affects your unique situation, you should check with a qualified attorney.</w:t>
            </w:r>
          </w:p>
        </w:tc>
      </w:tr>
      <w:tr w:rsidR="00191C02" w:rsidRPr="000E4673" w14:paraId="76E55F2A" w14:textId="77777777" w:rsidTr="0042495A">
        <w:trPr>
          <w:trHeight w:val="990"/>
        </w:trPr>
        <w:tc>
          <w:tcPr>
            <w:tcW w:w="10374" w:type="dxa"/>
            <w:gridSpan w:val="2"/>
            <w:tcBorders>
              <w:top w:val="nil"/>
              <w:left w:val="nil"/>
              <w:bottom w:val="nil"/>
              <w:right w:val="nil"/>
            </w:tcBorders>
            <w:vAlign w:val="center"/>
          </w:tcPr>
          <w:p w14:paraId="21A94C6B" w14:textId="6B5A9C60" w:rsidR="00B015FE" w:rsidRPr="000E4673" w:rsidRDefault="00B015FE" w:rsidP="00D53855">
            <w:pPr>
              <w:rPr>
                <w:rStyle w:val="Emphasis"/>
                <w:rFonts w:ascii="Arial" w:hAnsi="Arial" w:cs="Arial"/>
                <w:sz w:val="16"/>
                <w:szCs w:val="16"/>
              </w:rPr>
            </w:pPr>
            <w:r w:rsidRPr="000E4673">
              <w:rPr>
                <w:rFonts w:ascii="Arial" w:hAnsi="Arial" w:cs="Arial"/>
                <w:sz w:val="16"/>
                <w:szCs w:val="16"/>
              </w:rPr>
              <w:t>© Copyright 20</w:t>
            </w:r>
            <w:r w:rsidR="00084079" w:rsidRPr="000E4673">
              <w:rPr>
                <w:rFonts w:ascii="Arial" w:hAnsi="Arial" w:cs="Arial"/>
                <w:sz w:val="16"/>
                <w:szCs w:val="16"/>
              </w:rPr>
              <w:t>20</w:t>
            </w:r>
            <w:r w:rsidRPr="000E4673">
              <w:rPr>
                <w:rFonts w:ascii="Arial" w:hAnsi="Arial" w:cs="Arial"/>
                <w:sz w:val="16"/>
                <w:szCs w:val="16"/>
              </w:rPr>
              <w:t xml:space="preserve"> Benefit Advisors Network. All rights reserved</w:t>
            </w:r>
            <w:r w:rsidR="008230DA" w:rsidRPr="000E4673">
              <w:rPr>
                <w:rFonts w:ascii="Arial" w:hAnsi="Arial" w:cs="Arial"/>
                <w:sz w:val="16"/>
                <w:szCs w:val="16"/>
              </w:rPr>
              <w:t>.</w:t>
            </w:r>
          </w:p>
        </w:tc>
      </w:tr>
    </w:tbl>
    <w:p w14:paraId="39ED1BF4" w14:textId="77777777" w:rsidR="00EC334C" w:rsidRPr="000E4673" w:rsidRDefault="00EC334C" w:rsidP="005575A0"/>
    <w:sectPr w:rsidR="00EC334C" w:rsidRPr="000E4673" w:rsidSect="00947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C8F"/>
    <w:multiLevelType w:val="hybridMultilevel"/>
    <w:tmpl w:val="0C3CB14C"/>
    <w:lvl w:ilvl="0" w:tplc="44387878">
      <w:start w:val="1"/>
      <w:numFmt w:val="decimal"/>
      <w:lvlText w:val="%1)"/>
      <w:lvlJc w:val="left"/>
      <w:pPr>
        <w:ind w:left="410" w:hanging="360"/>
      </w:pPr>
    </w:lvl>
    <w:lvl w:ilvl="1" w:tplc="2CDEBA1C">
      <w:start w:val="1"/>
      <w:numFmt w:val="lowerLetter"/>
      <w:lvlText w:val="%2."/>
      <w:lvlJc w:val="left"/>
      <w:pPr>
        <w:ind w:left="1130" w:hanging="360"/>
      </w:pPr>
    </w:lvl>
    <w:lvl w:ilvl="2" w:tplc="4BD21D16">
      <w:start w:val="1"/>
      <w:numFmt w:val="lowerRoman"/>
      <w:lvlText w:val="%3."/>
      <w:lvlJc w:val="right"/>
      <w:pPr>
        <w:ind w:left="1850" w:hanging="180"/>
      </w:pPr>
    </w:lvl>
    <w:lvl w:ilvl="3" w:tplc="5F8A9814">
      <w:start w:val="1"/>
      <w:numFmt w:val="decimal"/>
      <w:lvlText w:val="%4."/>
      <w:lvlJc w:val="left"/>
      <w:pPr>
        <w:ind w:left="2570" w:hanging="360"/>
      </w:pPr>
    </w:lvl>
    <w:lvl w:ilvl="4" w:tplc="DEF4BA36">
      <w:start w:val="1"/>
      <w:numFmt w:val="lowerLetter"/>
      <w:lvlText w:val="%5."/>
      <w:lvlJc w:val="left"/>
      <w:pPr>
        <w:ind w:left="3290" w:hanging="360"/>
      </w:pPr>
    </w:lvl>
    <w:lvl w:ilvl="5" w:tplc="5C520FA2">
      <w:start w:val="1"/>
      <w:numFmt w:val="lowerRoman"/>
      <w:lvlText w:val="%6."/>
      <w:lvlJc w:val="right"/>
      <w:pPr>
        <w:ind w:left="4010" w:hanging="180"/>
      </w:pPr>
    </w:lvl>
    <w:lvl w:ilvl="6" w:tplc="0F5EED78">
      <w:start w:val="1"/>
      <w:numFmt w:val="decimal"/>
      <w:lvlText w:val="%7."/>
      <w:lvlJc w:val="left"/>
      <w:pPr>
        <w:ind w:left="4730" w:hanging="360"/>
      </w:pPr>
    </w:lvl>
    <w:lvl w:ilvl="7" w:tplc="C51ECBE8">
      <w:start w:val="1"/>
      <w:numFmt w:val="lowerLetter"/>
      <w:lvlText w:val="%8."/>
      <w:lvlJc w:val="left"/>
      <w:pPr>
        <w:ind w:left="5450" w:hanging="360"/>
      </w:pPr>
    </w:lvl>
    <w:lvl w:ilvl="8" w:tplc="199A7CDC">
      <w:start w:val="1"/>
      <w:numFmt w:val="lowerRoman"/>
      <w:lvlText w:val="%9."/>
      <w:lvlJc w:val="right"/>
      <w:pPr>
        <w:ind w:left="6170" w:hanging="180"/>
      </w:pPr>
    </w:lvl>
  </w:abstractNum>
  <w:abstractNum w:abstractNumId="1" w15:restartNumberingAfterBreak="0">
    <w:nsid w:val="1F536EEB"/>
    <w:multiLevelType w:val="hybridMultilevel"/>
    <w:tmpl w:val="77FA1A42"/>
    <w:lvl w:ilvl="0" w:tplc="DFFC4B9A">
      <w:start w:val="1"/>
      <w:numFmt w:val="bullet"/>
      <w:lvlText w:val=""/>
      <w:lvlJc w:val="left"/>
      <w:pPr>
        <w:ind w:left="720" w:hanging="360"/>
      </w:pPr>
      <w:rPr>
        <w:rFonts w:ascii="Symbol" w:hAnsi="Symbol" w:cs="Symbol" w:hint="default"/>
      </w:rPr>
    </w:lvl>
    <w:lvl w:ilvl="1" w:tplc="E3B05CD4" w:tentative="1">
      <w:start w:val="1"/>
      <w:numFmt w:val="bullet"/>
      <w:lvlText w:val="o"/>
      <w:lvlJc w:val="left"/>
      <w:pPr>
        <w:ind w:left="1440" w:hanging="360"/>
      </w:pPr>
      <w:rPr>
        <w:rFonts w:ascii="Courier New" w:hAnsi="Courier New" w:cs="Courier New" w:hint="default"/>
      </w:rPr>
    </w:lvl>
    <w:lvl w:ilvl="2" w:tplc="CC66DDE2" w:tentative="1">
      <w:start w:val="1"/>
      <w:numFmt w:val="bullet"/>
      <w:lvlText w:val=""/>
      <w:lvlJc w:val="left"/>
      <w:pPr>
        <w:ind w:left="2160" w:hanging="360"/>
      </w:pPr>
      <w:rPr>
        <w:rFonts w:ascii="Wingdings" w:hAnsi="Wingdings" w:cs="Wingdings" w:hint="default"/>
      </w:rPr>
    </w:lvl>
    <w:lvl w:ilvl="3" w:tplc="C194E10C" w:tentative="1">
      <w:start w:val="1"/>
      <w:numFmt w:val="bullet"/>
      <w:lvlText w:val=""/>
      <w:lvlJc w:val="left"/>
      <w:pPr>
        <w:ind w:left="2880" w:hanging="360"/>
      </w:pPr>
      <w:rPr>
        <w:rFonts w:ascii="Symbol" w:hAnsi="Symbol" w:cs="Symbol" w:hint="default"/>
      </w:rPr>
    </w:lvl>
    <w:lvl w:ilvl="4" w:tplc="3B1AA5A2" w:tentative="1">
      <w:start w:val="1"/>
      <w:numFmt w:val="bullet"/>
      <w:lvlText w:val="o"/>
      <w:lvlJc w:val="left"/>
      <w:pPr>
        <w:ind w:left="3600" w:hanging="360"/>
      </w:pPr>
      <w:rPr>
        <w:rFonts w:ascii="Courier New" w:hAnsi="Courier New" w:cs="Courier New" w:hint="default"/>
      </w:rPr>
    </w:lvl>
    <w:lvl w:ilvl="5" w:tplc="CFE2B160" w:tentative="1">
      <w:start w:val="1"/>
      <w:numFmt w:val="bullet"/>
      <w:lvlText w:val=""/>
      <w:lvlJc w:val="left"/>
      <w:pPr>
        <w:ind w:left="4320" w:hanging="360"/>
      </w:pPr>
      <w:rPr>
        <w:rFonts w:ascii="Wingdings" w:hAnsi="Wingdings" w:cs="Wingdings" w:hint="default"/>
      </w:rPr>
    </w:lvl>
    <w:lvl w:ilvl="6" w:tplc="58E818D2" w:tentative="1">
      <w:start w:val="1"/>
      <w:numFmt w:val="bullet"/>
      <w:lvlText w:val=""/>
      <w:lvlJc w:val="left"/>
      <w:pPr>
        <w:ind w:left="5040" w:hanging="360"/>
      </w:pPr>
      <w:rPr>
        <w:rFonts w:ascii="Symbol" w:hAnsi="Symbol" w:cs="Symbol" w:hint="default"/>
      </w:rPr>
    </w:lvl>
    <w:lvl w:ilvl="7" w:tplc="B39042F0" w:tentative="1">
      <w:start w:val="1"/>
      <w:numFmt w:val="bullet"/>
      <w:lvlText w:val="o"/>
      <w:lvlJc w:val="left"/>
      <w:pPr>
        <w:ind w:left="5760" w:hanging="360"/>
      </w:pPr>
      <w:rPr>
        <w:rFonts w:ascii="Courier New" w:hAnsi="Courier New" w:cs="Courier New" w:hint="default"/>
      </w:rPr>
    </w:lvl>
    <w:lvl w:ilvl="8" w:tplc="64D6EBA6" w:tentative="1">
      <w:start w:val="1"/>
      <w:numFmt w:val="bullet"/>
      <w:lvlText w:val=""/>
      <w:lvlJc w:val="left"/>
      <w:pPr>
        <w:ind w:left="6480" w:hanging="360"/>
      </w:pPr>
      <w:rPr>
        <w:rFonts w:ascii="Wingdings" w:hAnsi="Wingdings" w:cs="Wingdings" w:hint="default"/>
      </w:rPr>
    </w:lvl>
  </w:abstractNum>
  <w:abstractNum w:abstractNumId="2" w15:restartNumberingAfterBreak="0">
    <w:nsid w:val="21D11256"/>
    <w:multiLevelType w:val="hybridMultilevel"/>
    <w:tmpl w:val="6166076E"/>
    <w:lvl w:ilvl="0" w:tplc="E65E3288">
      <w:start w:val="1"/>
      <w:numFmt w:val="decimal"/>
      <w:lvlText w:val="%1."/>
      <w:lvlJc w:val="left"/>
      <w:pPr>
        <w:tabs>
          <w:tab w:val="num" w:pos="720"/>
        </w:tabs>
        <w:ind w:left="720" w:hanging="360"/>
      </w:pPr>
    </w:lvl>
    <w:lvl w:ilvl="1" w:tplc="DD34B2F4">
      <w:start w:val="1"/>
      <w:numFmt w:val="decimal"/>
      <w:lvlText w:val="%2."/>
      <w:lvlJc w:val="left"/>
      <w:pPr>
        <w:tabs>
          <w:tab w:val="num" w:pos="1440"/>
        </w:tabs>
        <w:ind w:left="1440" w:hanging="360"/>
      </w:pPr>
    </w:lvl>
    <w:lvl w:ilvl="2" w:tplc="EB584A0A" w:tentative="1">
      <w:start w:val="1"/>
      <w:numFmt w:val="decimal"/>
      <w:lvlText w:val="%3."/>
      <w:lvlJc w:val="left"/>
      <w:pPr>
        <w:tabs>
          <w:tab w:val="num" w:pos="2160"/>
        </w:tabs>
        <w:ind w:left="2160" w:hanging="360"/>
      </w:pPr>
    </w:lvl>
    <w:lvl w:ilvl="3" w:tplc="EA5C6FF2" w:tentative="1">
      <w:start w:val="1"/>
      <w:numFmt w:val="decimal"/>
      <w:lvlText w:val="%4."/>
      <w:lvlJc w:val="left"/>
      <w:pPr>
        <w:tabs>
          <w:tab w:val="num" w:pos="2880"/>
        </w:tabs>
        <w:ind w:left="2880" w:hanging="360"/>
      </w:pPr>
    </w:lvl>
    <w:lvl w:ilvl="4" w:tplc="19EA726A" w:tentative="1">
      <w:start w:val="1"/>
      <w:numFmt w:val="decimal"/>
      <w:lvlText w:val="%5."/>
      <w:lvlJc w:val="left"/>
      <w:pPr>
        <w:tabs>
          <w:tab w:val="num" w:pos="3600"/>
        </w:tabs>
        <w:ind w:left="3600" w:hanging="360"/>
      </w:pPr>
    </w:lvl>
    <w:lvl w:ilvl="5" w:tplc="B3A4171E" w:tentative="1">
      <w:start w:val="1"/>
      <w:numFmt w:val="decimal"/>
      <w:lvlText w:val="%6."/>
      <w:lvlJc w:val="left"/>
      <w:pPr>
        <w:tabs>
          <w:tab w:val="num" w:pos="4320"/>
        </w:tabs>
        <w:ind w:left="4320" w:hanging="360"/>
      </w:pPr>
    </w:lvl>
    <w:lvl w:ilvl="6" w:tplc="577830E8" w:tentative="1">
      <w:start w:val="1"/>
      <w:numFmt w:val="decimal"/>
      <w:lvlText w:val="%7."/>
      <w:lvlJc w:val="left"/>
      <w:pPr>
        <w:tabs>
          <w:tab w:val="num" w:pos="5040"/>
        </w:tabs>
        <w:ind w:left="5040" w:hanging="360"/>
      </w:pPr>
    </w:lvl>
    <w:lvl w:ilvl="7" w:tplc="B3846500" w:tentative="1">
      <w:start w:val="1"/>
      <w:numFmt w:val="decimal"/>
      <w:lvlText w:val="%8."/>
      <w:lvlJc w:val="left"/>
      <w:pPr>
        <w:tabs>
          <w:tab w:val="num" w:pos="5760"/>
        </w:tabs>
        <w:ind w:left="5760" w:hanging="360"/>
      </w:pPr>
    </w:lvl>
    <w:lvl w:ilvl="8" w:tplc="4044F616" w:tentative="1">
      <w:start w:val="1"/>
      <w:numFmt w:val="decimal"/>
      <w:lvlText w:val="%9."/>
      <w:lvlJc w:val="left"/>
      <w:pPr>
        <w:tabs>
          <w:tab w:val="num" w:pos="6480"/>
        </w:tabs>
        <w:ind w:left="6480" w:hanging="360"/>
      </w:pPr>
    </w:lvl>
  </w:abstractNum>
  <w:abstractNum w:abstractNumId="3" w15:restartNumberingAfterBreak="0">
    <w:nsid w:val="241D1A83"/>
    <w:multiLevelType w:val="hybridMultilevel"/>
    <w:tmpl w:val="7A44006A"/>
    <w:lvl w:ilvl="0" w:tplc="2C368AE6">
      <w:start w:val="1"/>
      <w:numFmt w:val="bullet"/>
      <w:lvlText w:val=""/>
      <w:lvlJc w:val="left"/>
      <w:pPr>
        <w:ind w:left="720" w:hanging="360"/>
      </w:pPr>
      <w:rPr>
        <w:rFonts w:ascii="Symbol" w:hAnsi="Symbol" w:cs="Symbol" w:hint="default"/>
      </w:rPr>
    </w:lvl>
    <w:lvl w:ilvl="1" w:tplc="36E2FA10">
      <w:start w:val="1"/>
      <w:numFmt w:val="bullet"/>
      <w:lvlText w:val="o"/>
      <w:lvlJc w:val="left"/>
      <w:pPr>
        <w:ind w:left="1440" w:hanging="360"/>
      </w:pPr>
      <w:rPr>
        <w:rFonts w:ascii="Courier New" w:hAnsi="Courier New" w:cs="Courier New" w:hint="default"/>
      </w:rPr>
    </w:lvl>
    <w:lvl w:ilvl="2" w:tplc="C7AEF53E" w:tentative="1">
      <w:start w:val="1"/>
      <w:numFmt w:val="bullet"/>
      <w:lvlText w:val=""/>
      <w:lvlJc w:val="left"/>
      <w:pPr>
        <w:ind w:left="2160" w:hanging="360"/>
      </w:pPr>
      <w:rPr>
        <w:rFonts w:ascii="Wingdings" w:hAnsi="Wingdings" w:cs="Wingdings" w:hint="default"/>
      </w:rPr>
    </w:lvl>
    <w:lvl w:ilvl="3" w:tplc="E13E8D40" w:tentative="1">
      <w:start w:val="1"/>
      <w:numFmt w:val="bullet"/>
      <w:lvlText w:val=""/>
      <w:lvlJc w:val="left"/>
      <w:pPr>
        <w:ind w:left="2880" w:hanging="360"/>
      </w:pPr>
      <w:rPr>
        <w:rFonts w:ascii="Symbol" w:hAnsi="Symbol" w:cs="Symbol" w:hint="default"/>
      </w:rPr>
    </w:lvl>
    <w:lvl w:ilvl="4" w:tplc="525634A0" w:tentative="1">
      <w:start w:val="1"/>
      <w:numFmt w:val="bullet"/>
      <w:lvlText w:val="o"/>
      <w:lvlJc w:val="left"/>
      <w:pPr>
        <w:ind w:left="3600" w:hanging="360"/>
      </w:pPr>
      <w:rPr>
        <w:rFonts w:ascii="Courier New" w:hAnsi="Courier New" w:cs="Courier New" w:hint="default"/>
      </w:rPr>
    </w:lvl>
    <w:lvl w:ilvl="5" w:tplc="4E102632" w:tentative="1">
      <w:start w:val="1"/>
      <w:numFmt w:val="bullet"/>
      <w:lvlText w:val=""/>
      <w:lvlJc w:val="left"/>
      <w:pPr>
        <w:ind w:left="4320" w:hanging="360"/>
      </w:pPr>
      <w:rPr>
        <w:rFonts w:ascii="Wingdings" w:hAnsi="Wingdings" w:cs="Wingdings" w:hint="default"/>
      </w:rPr>
    </w:lvl>
    <w:lvl w:ilvl="6" w:tplc="B39E5EE0" w:tentative="1">
      <w:start w:val="1"/>
      <w:numFmt w:val="bullet"/>
      <w:lvlText w:val=""/>
      <w:lvlJc w:val="left"/>
      <w:pPr>
        <w:ind w:left="5040" w:hanging="360"/>
      </w:pPr>
      <w:rPr>
        <w:rFonts w:ascii="Symbol" w:hAnsi="Symbol" w:cs="Symbol" w:hint="default"/>
      </w:rPr>
    </w:lvl>
    <w:lvl w:ilvl="7" w:tplc="0AD2825E" w:tentative="1">
      <w:start w:val="1"/>
      <w:numFmt w:val="bullet"/>
      <w:lvlText w:val="o"/>
      <w:lvlJc w:val="left"/>
      <w:pPr>
        <w:ind w:left="5760" w:hanging="360"/>
      </w:pPr>
      <w:rPr>
        <w:rFonts w:ascii="Courier New" w:hAnsi="Courier New" w:cs="Courier New" w:hint="default"/>
      </w:rPr>
    </w:lvl>
    <w:lvl w:ilvl="8" w:tplc="CB4CDE62" w:tentative="1">
      <w:start w:val="1"/>
      <w:numFmt w:val="bullet"/>
      <w:lvlText w:val=""/>
      <w:lvlJc w:val="left"/>
      <w:pPr>
        <w:ind w:left="6480" w:hanging="360"/>
      </w:pPr>
      <w:rPr>
        <w:rFonts w:ascii="Wingdings" w:hAnsi="Wingdings" w:cs="Wingdings" w:hint="default"/>
      </w:rPr>
    </w:lvl>
  </w:abstractNum>
  <w:abstractNum w:abstractNumId="4" w15:restartNumberingAfterBreak="0">
    <w:nsid w:val="354273A1"/>
    <w:multiLevelType w:val="hybridMultilevel"/>
    <w:tmpl w:val="67FA3D82"/>
    <w:lvl w:ilvl="0" w:tplc="DD84CFBA">
      <w:start w:val="1"/>
      <w:numFmt w:val="bullet"/>
      <w:lvlText w:val=""/>
      <w:lvlJc w:val="left"/>
      <w:pPr>
        <w:ind w:left="720" w:hanging="360"/>
      </w:pPr>
      <w:rPr>
        <w:rFonts w:ascii="Symbol" w:hAnsi="Symbol" w:cs="Symbol" w:hint="default"/>
      </w:rPr>
    </w:lvl>
    <w:lvl w:ilvl="1" w:tplc="CAC21D9A" w:tentative="1">
      <w:start w:val="1"/>
      <w:numFmt w:val="bullet"/>
      <w:lvlText w:val="o"/>
      <w:lvlJc w:val="left"/>
      <w:pPr>
        <w:ind w:left="1440" w:hanging="360"/>
      </w:pPr>
      <w:rPr>
        <w:rFonts w:ascii="Courier New" w:hAnsi="Courier New" w:cs="Courier New" w:hint="default"/>
      </w:rPr>
    </w:lvl>
    <w:lvl w:ilvl="2" w:tplc="1E061354" w:tentative="1">
      <w:start w:val="1"/>
      <w:numFmt w:val="bullet"/>
      <w:lvlText w:val=""/>
      <w:lvlJc w:val="left"/>
      <w:pPr>
        <w:ind w:left="2160" w:hanging="360"/>
      </w:pPr>
      <w:rPr>
        <w:rFonts w:ascii="Wingdings" w:hAnsi="Wingdings" w:cs="Wingdings" w:hint="default"/>
      </w:rPr>
    </w:lvl>
    <w:lvl w:ilvl="3" w:tplc="BB762F3A" w:tentative="1">
      <w:start w:val="1"/>
      <w:numFmt w:val="bullet"/>
      <w:lvlText w:val=""/>
      <w:lvlJc w:val="left"/>
      <w:pPr>
        <w:ind w:left="2880" w:hanging="360"/>
      </w:pPr>
      <w:rPr>
        <w:rFonts w:ascii="Symbol" w:hAnsi="Symbol" w:cs="Symbol" w:hint="default"/>
      </w:rPr>
    </w:lvl>
    <w:lvl w:ilvl="4" w:tplc="2CDA1690" w:tentative="1">
      <w:start w:val="1"/>
      <w:numFmt w:val="bullet"/>
      <w:lvlText w:val="o"/>
      <w:lvlJc w:val="left"/>
      <w:pPr>
        <w:ind w:left="3600" w:hanging="360"/>
      </w:pPr>
      <w:rPr>
        <w:rFonts w:ascii="Courier New" w:hAnsi="Courier New" w:cs="Courier New" w:hint="default"/>
      </w:rPr>
    </w:lvl>
    <w:lvl w:ilvl="5" w:tplc="F210F962" w:tentative="1">
      <w:start w:val="1"/>
      <w:numFmt w:val="bullet"/>
      <w:lvlText w:val=""/>
      <w:lvlJc w:val="left"/>
      <w:pPr>
        <w:ind w:left="4320" w:hanging="360"/>
      </w:pPr>
      <w:rPr>
        <w:rFonts w:ascii="Wingdings" w:hAnsi="Wingdings" w:cs="Wingdings" w:hint="default"/>
      </w:rPr>
    </w:lvl>
    <w:lvl w:ilvl="6" w:tplc="B96285EE" w:tentative="1">
      <w:start w:val="1"/>
      <w:numFmt w:val="bullet"/>
      <w:lvlText w:val=""/>
      <w:lvlJc w:val="left"/>
      <w:pPr>
        <w:ind w:left="5040" w:hanging="360"/>
      </w:pPr>
      <w:rPr>
        <w:rFonts w:ascii="Symbol" w:hAnsi="Symbol" w:cs="Symbol" w:hint="default"/>
      </w:rPr>
    </w:lvl>
    <w:lvl w:ilvl="7" w:tplc="73D2DBEC" w:tentative="1">
      <w:start w:val="1"/>
      <w:numFmt w:val="bullet"/>
      <w:lvlText w:val="o"/>
      <w:lvlJc w:val="left"/>
      <w:pPr>
        <w:ind w:left="5760" w:hanging="360"/>
      </w:pPr>
      <w:rPr>
        <w:rFonts w:ascii="Courier New" w:hAnsi="Courier New" w:cs="Courier New" w:hint="default"/>
      </w:rPr>
    </w:lvl>
    <w:lvl w:ilvl="8" w:tplc="83E2E238" w:tentative="1">
      <w:start w:val="1"/>
      <w:numFmt w:val="bullet"/>
      <w:lvlText w:val=""/>
      <w:lvlJc w:val="left"/>
      <w:pPr>
        <w:ind w:left="6480" w:hanging="360"/>
      </w:pPr>
      <w:rPr>
        <w:rFonts w:ascii="Wingdings" w:hAnsi="Wingdings" w:cs="Wingdings" w:hint="default"/>
      </w:rPr>
    </w:lvl>
  </w:abstractNum>
  <w:abstractNum w:abstractNumId="5" w15:restartNumberingAfterBreak="0">
    <w:nsid w:val="38350F94"/>
    <w:multiLevelType w:val="multilevel"/>
    <w:tmpl w:val="91F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40349"/>
    <w:multiLevelType w:val="hybridMultilevel"/>
    <w:tmpl w:val="DC5AE950"/>
    <w:lvl w:ilvl="0" w:tplc="A8F8A2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D0DFD"/>
    <w:multiLevelType w:val="hybridMultilevel"/>
    <w:tmpl w:val="C9CE8A02"/>
    <w:lvl w:ilvl="0" w:tplc="B1520514">
      <w:start w:val="1"/>
      <w:numFmt w:val="bullet"/>
      <w:lvlText w:val=""/>
      <w:lvlJc w:val="left"/>
      <w:pPr>
        <w:ind w:left="720" w:hanging="360"/>
      </w:pPr>
      <w:rPr>
        <w:rFonts w:ascii="Symbol" w:hAnsi="Symbol" w:cs="Symbol" w:hint="default"/>
      </w:rPr>
    </w:lvl>
    <w:lvl w:ilvl="1" w:tplc="0D641930">
      <w:start w:val="1"/>
      <w:numFmt w:val="bullet"/>
      <w:lvlText w:val="o"/>
      <w:lvlJc w:val="left"/>
      <w:pPr>
        <w:ind w:left="1440" w:hanging="360"/>
      </w:pPr>
      <w:rPr>
        <w:rFonts w:ascii="Courier New" w:hAnsi="Courier New" w:cs="Courier New" w:hint="default"/>
      </w:rPr>
    </w:lvl>
    <w:lvl w:ilvl="2" w:tplc="CC380398" w:tentative="1">
      <w:start w:val="1"/>
      <w:numFmt w:val="bullet"/>
      <w:lvlText w:val=""/>
      <w:lvlJc w:val="left"/>
      <w:pPr>
        <w:ind w:left="2160" w:hanging="360"/>
      </w:pPr>
      <w:rPr>
        <w:rFonts w:ascii="Wingdings" w:hAnsi="Wingdings" w:cs="Wingdings" w:hint="default"/>
      </w:rPr>
    </w:lvl>
    <w:lvl w:ilvl="3" w:tplc="41B66CEC" w:tentative="1">
      <w:start w:val="1"/>
      <w:numFmt w:val="bullet"/>
      <w:lvlText w:val=""/>
      <w:lvlJc w:val="left"/>
      <w:pPr>
        <w:ind w:left="2880" w:hanging="360"/>
      </w:pPr>
      <w:rPr>
        <w:rFonts w:ascii="Symbol" w:hAnsi="Symbol" w:cs="Symbol" w:hint="default"/>
      </w:rPr>
    </w:lvl>
    <w:lvl w:ilvl="4" w:tplc="2214DF0E" w:tentative="1">
      <w:start w:val="1"/>
      <w:numFmt w:val="bullet"/>
      <w:lvlText w:val="o"/>
      <w:lvlJc w:val="left"/>
      <w:pPr>
        <w:ind w:left="3600" w:hanging="360"/>
      </w:pPr>
      <w:rPr>
        <w:rFonts w:ascii="Courier New" w:hAnsi="Courier New" w:cs="Courier New" w:hint="default"/>
      </w:rPr>
    </w:lvl>
    <w:lvl w:ilvl="5" w:tplc="A03EF372" w:tentative="1">
      <w:start w:val="1"/>
      <w:numFmt w:val="bullet"/>
      <w:lvlText w:val=""/>
      <w:lvlJc w:val="left"/>
      <w:pPr>
        <w:ind w:left="4320" w:hanging="360"/>
      </w:pPr>
      <w:rPr>
        <w:rFonts w:ascii="Wingdings" w:hAnsi="Wingdings" w:cs="Wingdings" w:hint="default"/>
      </w:rPr>
    </w:lvl>
    <w:lvl w:ilvl="6" w:tplc="1EF853C4" w:tentative="1">
      <w:start w:val="1"/>
      <w:numFmt w:val="bullet"/>
      <w:lvlText w:val=""/>
      <w:lvlJc w:val="left"/>
      <w:pPr>
        <w:ind w:left="5040" w:hanging="360"/>
      </w:pPr>
      <w:rPr>
        <w:rFonts w:ascii="Symbol" w:hAnsi="Symbol" w:cs="Symbol" w:hint="default"/>
      </w:rPr>
    </w:lvl>
    <w:lvl w:ilvl="7" w:tplc="083403F8" w:tentative="1">
      <w:start w:val="1"/>
      <w:numFmt w:val="bullet"/>
      <w:lvlText w:val="o"/>
      <w:lvlJc w:val="left"/>
      <w:pPr>
        <w:ind w:left="5760" w:hanging="360"/>
      </w:pPr>
      <w:rPr>
        <w:rFonts w:ascii="Courier New" w:hAnsi="Courier New" w:cs="Courier New" w:hint="default"/>
      </w:rPr>
    </w:lvl>
    <w:lvl w:ilvl="8" w:tplc="7DD4A576" w:tentative="1">
      <w:start w:val="1"/>
      <w:numFmt w:val="bullet"/>
      <w:lvlText w:val=""/>
      <w:lvlJc w:val="left"/>
      <w:pPr>
        <w:ind w:left="6480" w:hanging="360"/>
      </w:pPr>
      <w:rPr>
        <w:rFonts w:ascii="Wingdings" w:hAnsi="Wingdings" w:cs="Wingdings" w:hint="default"/>
      </w:rPr>
    </w:lvl>
  </w:abstractNum>
  <w:abstractNum w:abstractNumId="8" w15:restartNumberingAfterBreak="0">
    <w:nsid w:val="748903DC"/>
    <w:multiLevelType w:val="hybridMultilevel"/>
    <w:tmpl w:val="6D1EAC22"/>
    <w:lvl w:ilvl="0" w:tplc="388A54C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75D81"/>
    <w:multiLevelType w:val="hybridMultilevel"/>
    <w:tmpl w:val="F44C961C"/>
    <w:lvl w:ilvl="0" w:tplc="CA4AFB56">
      <w:start w:val="1"/>
      <w:numFmt w:val="bullet"/>
      <w:lvlText w:val=""/>
      <w:lvlJc w:val="left"/>
      <w:pPr>
        <w:ind w:left="720" w:hanging="360"/>
      </w:pPr>
      <w:rPr>
        <w:rFonts w:ascii="Symbol" w:hAnsi="Symbol" w:cs="Symbol" w:hint="default"/>
      </w:rPr>
    </w:lvl>
    <w:lvl w:ilvl="1" w:tplc="A802F066">
      <w:start w:val="1"/>
      <w:numFmt w:val="bullet"/>
      <w:lvlText w:val="o"/>
      <w:lvlJc w:val="left"/>
      <w:pPr>
        <w:ind w:left="1440" w:hanging="360"/>
      </w:pPr>
      <w:rPr>
        <w:rFonts w:ascii="Courier New" w:hAnsi="Courier New" w:cs="Courier New" w:hint="default"/>
      </w:rPr>
    </w:lvl>
    <w:lvl w:ilvl="2" w:tplc="236C5C2E" w:tentative="1">
      <w:start w:val="1"/>
      <w:numFmt w:val="bullet"/>
      <w:lvlText w:val=""/>
      <w:lvlJc w:val="left"/>
      <w:pPr>
        <w:ind w:left="2160" w:hanging="360"/>
      </w:pPr>
      <w:rPr>
        <w:rFonts w:ascii="Wingdings" w:hAnsi="Wingdings" w:cs="Wingdings" w:hint="default"/>
      </w:rPr>
    </w:lvl>
    <w:lvl w:ilvl="3" w:tplc="D696BA1E" w:tentative="1">
      <w:start w:val="1"/>
      <w:numFmt w:val="bullet"/>
      <w:lvlText w:val=""/>
      <w:lvlJc w:val="left"/>
      <w:pPr>
        <w:ind w:left="2880" w:hanging="360"/>
      </w:pPr>
      <w:rPr>
        <w:rFonts w:ascii="Symbol" w:hAnsi="Symbol" w:cs="Symbol" w:hint="default"/>
      </w:rPr>
    </w:lvl>
    <w:lvl w:ilvl="4" w:tplc="B2747BB6" w:tentative="1">
      <w:start w:val="1"/>
      <w:numFmt w:val="bullet"/>
      <w:lvlText w:val="o"/>
      <w:lvlJc w:val="left"/>
      <w:pPr>
        <w:ind w:left="3600" w:hanging="360"/>
      </w:pPr>
      <w:rPr>
        <w:rFonts w:ascii="Courier New" w:hAnsi="Courier New" w:cs="Courier New" w:hint="default"/>
      </w:rPr>
    </w:lvl>
    <w:lvl w:ilvl="5" w:tplc="899CA41A" w:tentative="1">
      <w:start w:val="1"/>
      <w:numFmt w:val="bullet"/>
      <w:lvlText w:val=""/>
      <w:lvlJc w:val="left"/>
      <w:pPr>
        <w:ind w:left="4320" w:hanging="360"/>
      </w:pPr>
      <w:rPr>
        <w:rFonts w:ascii="Wingdings" w:hAnsi="Wingdings" w:cs="Wingdings" w:hint="default"/>
      </w:rPr>
    </w:lvl>
    <w:lvl w:ilvl="6" w:tplc="236AEBBC" w:tentative="1">
      <w:start w:val="1"/>
      <w:numFmt w:val="bullet"/>
      <w:lvlText w:val=""/>
      <w:lvlJc w:val="left"/>
      <w:pPr>
        <w:ind w:left="5040" w:hanging="360"/>
      </w:pPr>
      <w:rPr>
        <w:rFonts w:ascii="Symbol" w:hAnsi="Symbol" w:cs="Symbol" w:hint="default"/>
      </w:rPr>
    </w:lvl>
    <w:lvl w:ilvl="7" w:tplc="33FA7360" w:tentative="1">
      <w:start w:val="1"/>
      <w:numFmt w:val="bullet"/>
      <w:lvlText w:val="o"/>
      <w:lvlJc w:val="left"/>
      <w:pPr>
        <w:ind w:left="5760" w:hanging="360"/>
      </w:pPr>
      <w:rPr>
        <w:rFonts w:ascii="Courier New" w:hAnsi="Courier New" w:cs="Courier New" w:hint="default"/>
      </w:rPr>
    </w:lvl>
    <w:lvl w:ilvl="8" w:tplc="BEFAFB2A" w:tentative="1">
      <w:start w:val="1"/>
      <w:numFmt w:val="bullet"/>
      <w:lvlText w:val=""/>
      <w:lvlJc w:val="left"/>
      <w:pPr>
        <w:ind w:left="6480" w:hanging="360"/>
      </w:pPr>
      <w:rPr>
        <w:rFonts w:ascii="Wingdings" w:hAnsi="Wingdings" w:cs="Wingdings" w:hint="default"/>
      </w:rPr>
    </w:lvl>
  </w:abstractNum>
  <w:abstractNum w:abstractNumId="10" w15:restartNumberingAfterBreak="0">
    <w:nsid w:val="7D393B45"/>
    <w:multiLevelType w:val="multilevel"/>
    <w:tmpl w:val="EA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A49AB"/>
    <w:multiLevelType w:val="hybridMultilevel"/>
    <w:tmpl w:val="608AF590"/>
    <w:lvl w:ilvl="0" w:tplc="3BEEAC96">
      <w:numFmt w:val="bullet"/>
      <w:lvlText w:val=""/>
      <w:lvlJc w:val="left"/>
      <w:pPr>
        <w:ind w:left="610" w:hanging="360"/>
      </w:pPr>
      <w:rPr>
        <w:rFonts w:ascii="Symbol" w:eastAsiaTheme="minorHAnsi" w:hAnsi="Symbol" w:cstheme="minorHAnsi"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2" w15:restartNumberingAfterBreak="0">
    <w:nsid w:val="7EA857C0"/>
    <w:multiLevelType w:val="hybridMultilevel"/>
    <w:tmpl w:val="19C4D1B8"/>
    <w:lvl w:ilvl="0" w:tplc="7122C5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9"/>
  </w:num>
  <w:num w:numId="10">
    <w:abstractNumId w:val="7"/>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4C"/>
    <w:rsid w:val="00031DD9"/>
    <w:rsid w:val="00033935"/>
    <w:rsid w:val="00084079"/>
    <w:rsid w:val="000862E7"/>
    <w:rsid w:val="000B5F94"/>
    <w:rsid w:val="000D602D"/>
    <w:rsid w:val="000D79BA"/>
    <w:rsid w:val="000E4673"/>
    <w:rsid w:val="00185AE1"/>
    <w:rsid w:val="00191C02"/>
    <w:rsid w:val="002025F7"/>
    <w:rsid w:val="002A7F13"/>
    <w:rsid w:val="00386170"/>
    <w:rsid w:val="0042495A"/>
    <w:rsid w:val="00427E34"/>
    <w:rsid w:val="00432742"/>
    <w:rsid w:val="00492226"/>
    <w:rsid w:val="004956F7"/>
    <w:rsid w:val="004B165F"/>
    <w:rsid w:val="005575A0"/>
    <w:rsid w:val="005702BC"/>
    <w:rsid w:val="005D45B5"/>
    <w:rsid w:val="0071632C"/>
    <w:rsid w:val="00740AAA"/>
    <w:rsid w:val="007F4D9D"/>
    <w:rsid w:val="00817376"/>
    <w:rsid w:val="00817C37"/>
    <w:rsid w:val="008230DA"/>
    <w:rsid w:val="009477D6"/>
    <w:rsid w:val="009E7157"/>
    <w:rsid w:val="00A070C1"/>
    <w:rsid w:val="00A32291"/>
    <w:rsid w:val="00B015FE"/>
    <w:rsid w:val="00B7025E"/>
    <w:rsid w:val="00B85E46"/>
    <w:rsid w:val="00BE2000"/>
    <w:rsid w:val="00CC6E47"/>
    <w:rsid w:val="00D00F40"/>
    <w:rsid w:val="00E547EC"/>
    <w:rsid w:val="00EC334C"/>
    <w:rsid w:val="00ED1BB3"/>
    <w:rsid w:val="00F07121"/>
    <w:rsid w:val="00F7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B1FD"/>
  <w15:chartTrackingRefBased/>
  <w15:docId w15:val="{27302F92-5BC2-4D1F-BA23-9FD78C1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24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34C"/>
    <w:rPr>
      <w:color w:val="0563C1" w:themeColor="hyperlink"/>
      <w:u w:val="single"/>
    </w:rPr>
  </w:style>
  <w:style w:type="character" w:styleId="Emphasis">
    <w:name w:val="Emphasis"/>
    <w:basedOn w:val="DefaultParagraphFont"/>
    <w:uiPriority w:val="20"/>
    <w:qFormat/>
    <w:rsid w:val="00EC334C"/>
    <w:rPr>
      <w:i/>
      <w:iCs/>
    </w:rPr>
  </w:style>
  <w:style w:type="paragraph" w:styleId="ListParagraph">
    <w:name w:val="List Paragraph"/>
    <w:basedOn w:val="Normal"/>
    <w:uiPriority w:val="34"/>
    <w:qFormat/>
    <w:rsid w:val="00EC334C"/>
    <w:pPr>
      <w:ind w:left="720"/>
      <w:contextualSpacing/>
    </w:pPr>
  </w:style>
  <w:style w:type="character" w:styleId="PlaceholderText">
    <w:name w:val="Placeholder Text"/>
    <w:basedOn w:val="DefaultParagraphFont"/>
    <w:uiPriority w:val="99"/>
    <w:semiHidden/>
    <w:rsid w:val="002A7F13"/>
    <w:rPr>
      <w:color w:val="808080"/>
    </w:rPr>
  </w:style>
  <w:style w:type="paragraph" w:styleId="NormalWeb">
    <w:name w:val="Normal (Web)"/>
    <w:basedOn w:val="Normal"/>
    <w:uiPriority w:val="99"/>
    <w:unhideWhenUsed/>
    <w:rsid w:val="000862E7"/>
    <w:pPr>
      <w:spacing w:before="100" w:beforeAutospacing="1" w:after="100" w:afterAutospacing="1" w:line="240" w:lineRule="auto"/>
    </w:pPr>
    <w:rPr>
      <w:rFonts w:ascii="Times New Roman" w:eastAsia="Times New Roman" w:hAnsi="Times New Roman" w:cs="Times New Roman"/>
      <w:color w:val="000000" w:themeColor="text1"/>
      <w:sz w:val="24"/>
      <w:szCs w:val="24"/>
    </w:rPr>
  </w:style>
  <w:style w:type="character" w:customStyle="1" w:styleId="Heading1Char">
    <w:name w:val="Heading 1 Char"/>
    <w:basedOn w:val="DefaultParagraphFont"/>
    <w:link w:val="Heading1"/>
    <w:uiPriority w:val="9"/>
    <w:rsid w:val="0042495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2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6831">
      <w:bodyDiv w:val="1"/>
      <w:marLeft w:val="0"/>
      <w:marRight w:val="0"/>
      <w:marTop w:val="0"/>
      <w:marBottom w:val="0"/>
      <w:divBdr>
        <w:top w:val="none" w:sz="0" w:space="0" w:color="auto"/>
        <w:left w:val="none" w:sz="0" w:space="0" w:color="auto"/>
        <w:bottom w:val="none" w:sz="0" w:space="0" w:color="auto"/>
        <w:right w:val="none" w:sz="0" w:space="0" w:color="auto"/>
      </w:divBdr>
    </w:div>
    <w:div w:id="558713304">
      <w:bodyDiv w:val="1"/>
      <w:marLeft w:val="0"/>
      <w:marRight w:val="0"/>
      <w:marTop w:val="0"/>
      <w:marBottom w:val="0"/>
      <w:divBdr>
        <w:top w:val="none" w:sz="0" w:space="0" w:color="auto"/>
        <w:left w:val="none" w:sz="0" w:space="0" w:color="auto"/>
        <w:bottom w:val="none" w:sz="0" w:space="0" w:color="auto"/>
        <w:right w:val="none" w:sz="0" w:space="0" w:color="auto"/>
      </w:divBdr>
    </w:div>
    <w:div w:id="586110938">
      <w:bodyDiv w:val="1"/>
      <w:marLeft w:val="0"/>
      <w:marRight w:val="0"/>
      <w:marTop w:val="0"/>
      <w:marBottom w:val="0"/>
      <w:divBdr>
        <w:top w:val="none" w:sz="0" w:space="0" w:color="auto"/>
        <w:left w:val="none" w:sz="0" w:space="0" w:color="auto"/>
        <w:bottom w:val="none" w:sz="0" w:space="0" w:color="auto"/>
        <w:right w:val="none" w:sz="0" w:space="0" w:color="auto"/>
      </w:divBdr>
    </w:div>
    <w:div w:id="786120897">
      <w:bodyDiv w:val="1"/>
      <w:marLeft w:val="0"/>
      <w:marRight w:val="0"/>
      <w:marTop w:val="0"/>
      <w:marBottom w:val="0"/>
      <w:divBdr>
        <w:top w:val="none" w:sz="0" w:space="0" w:color="auto"/>
        <w:left w:val="none" w:sz="0" w:space="0" w:color="auto"/>
        <w:bottom w:val="none" w:sz="0" w:space="0" w:color="auto"/>
        <w:right w:val="none" w:sz="0" w:space="0" w:color="auto"/>
      </w:divBdr>
    </w:div>
    <w:div w:id="819425810">
      <w:bodyDiv w:val="1"/>
      <w:marLeft w:val="0"/>
      <w:marRight w:val="0"/>
      <w:marTop w:val="0"/>
      <w:marBottom w:val="0"/>
      <w:divBdr>
        <w:top w:val="none" w:sz="0" w:space="0" w:color="auto"/>
        <w:left w:val="none" w:sz="0" w:space="0" w:color="auto"/>
        <w:bottom w:val="none" w:sz="0" w:space="0" w:color="auto"/>
        <w:right w:val="none" w:sz="0" w:space="0" w:color="auto"/>
      </w:divBdr>
    </w:div>
    <w:div w:id="1087504969">
      <w:bodyDiv w:val="1"/>
      <w:marLeft w:val="0"/>
      <w:marRight w:val="0"/>
      <w:marTop w:val="0"/>
      <w:marBottom w:val="0"/>
      <w:divBdr>
        <w:top w:val="none" w:sz="0" w:space="0" w:color="auto"/>
        <w:left w:val="none" w:sz="0" w:space="0" w:color="auto"/>
        <w:bottom w:val="none" w:sz="0" w:space="0" w:color="auto"/>
        <w:right w:val="none" w:sz="0" w:space="0" w:color="auto"/>
      </w:divBdr>
    </w:div>
    <w:div w:id="1537353841">
      <w:bodyDiv w:val="1"/>
      <w:marLeft w:val="0"/>
      <w:marRight w:val="0"/>
      <w:marTop w:val="0"/>
      <w:marBottom w:val="0"/>
      <w:divBdr>
        <w:top w:val="none" w:sz="0" w:space="0" w:color="auto"/>
        <w:left w:val="none" w:sz="0" w:space="0" w:color="auto"/>
        <w:bottom w:val="none" w:sz="0" w:space="0" w:color="auto"/>
        <w:right w:val="none" w:sz="0" w:space="0" w:color="auto"/>
      </w:divBdr>
    </w:div>
    <w:div w:id="174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general/topic/health-plans/plan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general/topic/health-plans/planinformation" TargetMode="External"/><Relationship Id="rId5" Type="http://schemas.openxmlformats.org/officeDocument/2006/relationships/styles" Target="styles.xml"/><Relationship Id="rId10" Type="http://schemas.openxmlformats.org/officeDocument/2006/relationships/hyperlink" Target="https://www.cms.gov/files/document/sample-completed-sbc-accessible-format-11-2019-v2"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C35D9-EC4C-478F-9DB7-CA8C3541EF9D}">
  <ds:schemaRefs>
    <ds:schemaRef ds:uri="http://purl.org/dc/elements/1.1/"/>
    <ds:schemaRef ds:uri="http://schemas.microsoft.com/office/2006/metadata/properties"/>
    <ds:schemaRef ds:uri="3b1777c5-690f-4c7c-a94d-4fbf036b679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A4F567-21F9-4E96-8D4D-2173FB892263}">
  <ds:schemaRefs>
    <ds:schemaRef ds:uri="http://schemas.microsoft.com/sharepoint/v3/contenttype/forms"/>
  </ds:schemaRefs>
</ds:datastoreItem>
</file>

<file path=customXml/itemProps3.xml><?xml version="1.0" encoding="utf-8"?>
<ds:datastoreItem xmlns:ds="http://schemas.openxmlformats.org/officeDocument/2006/customXml" ds:itemID="{475FF21B-ACA5-42AD-BDCA-43D0C8E7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2020-03-23 Notice Requirements When Making Health Plan Design Changes</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2020-03-23 Notice Requirements When Making Health Plan Design Changes</dc:title>
  <dc:subject/>
  <dc:creator>Caroline Williams</dc:creator>
  <cp:keywords/>
  <dc:description/>
  <cp:lastModifiedBy>Sarah Gillespie</cp:lastModifiedBy>
  <cp:revision>2</cp:revision>
  <cp:lastPrinted>2020-03-17T19:55:00Z</cp:lastPrinted>
  <dcterms:created xsi:type="dcterms:W3CDTF">2020-03-24T20:36:00Z</dcterms:created>
  <dcterms:modified xsi:type="dcterms:W3CDTF">2020-03-24T20:36:00Z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