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82B7B" w14:textId="77777777" w:rsidR="0026000D" w:rsidRPr="00615F8A" w:rsidRDefault="00787BC9" w:rsidP="00A272C7">
      <w:pPr>
        <w:pStyle w:val="MainTitle"/>
      </w:pPr>
      <w:bookmarkStart w:id="0" w:name="_GoBack"/>
      <w:bookmarkEnd w:id="0"/>
      <w:r w:rsidRPr="00615F8A">
        <w:rPr>
          <w:noProof/>
        </w:rPr>
        <w:drawing>
          <wp:anchor distT="0" distB="0" distL="114300" distR="114300" simplePos="0" relativeHeight="251658240" behindDoc="0" locked="1" layoutInCell="1" allowOverlap="1" wp14:anchorId="3F5B7C2C" wp14:editId="33B78B04">
            <wp:simplePos x="0" y="0"/>
            <wp:positionH relativeFrom="margin">
              <wp:posOffset>5080000</wp:posOffset>
            </wp:positionH>
            <wp:positionV relativeFrom="margin">
              <wp:posOffset>6223000</wp:posOffset>
            </wp:positionV>
            <wp:extent cx="1645923" cy="1120142"/>
            <wp:effectExtent l="0" t="0" r="0" b="0"/>
            <wp:wrapNone/>
            <wp:docPr id="100032" name="Picture 100032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003341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5CE" w:rsidRPr="00615F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5CD991" wp14:editId="3C136399">
                <wp:simplePos x="0" y="0"/>
                <wp:positionH relativeFrom="column">
                  <wp:posOffset>-449580</wp:posOffset>
                </wp:positionH>
                <wp:positionV relativeFrom="paragraph">
                  <wp:posOffset>-6350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8" cy="3084195"/>
                          <a:chOff x="1" y="0"/>
                          <a:chExt cx="7772398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1" y="0"/>
                            <a:ext cx="7772398" cy="637606"/>
                            <a:chOff x="1" y="0"/>
                            <a:chExt cx="7772398" cy="63760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" y="2473"/>
                              <a:ext cx="7772398" cy="63513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CFACA0" w14:textId="77777777" w:rsidR="008864AB" w:rsidRPr="008864AB" w:rsidRDefault="00D835CE" w:rsidP="008864AB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Action Steps</w:t>
                                </w:r>
                              </w:p>
                            </w:txbxContent>
                          </wps:txbx>
                          <wps:bodyPr rot="0" vert="horz" wrap="square" anchor="ctr" anchorCtr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73380"/>
                            <a:ext cx="230124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7B4F3" w14:textId="77777777" w:rsidR="002758A2" w:rsidRDefault="00D835CE" w:rsidP="002758A2">
                              <w:pPr>
                                <w:pStyle w:val="Checkbox"/>
                              </w:pPr>
                              <w:r w:rsidRPr="002758A2">
                                <w:t xml:space="preserve">Employers should </w:t>
                              </w:r>
                              <w:r>
                                <w:t xml:space="preserve">review the DOL’s </w:t>
                              </w:r>
                              <w:r w:rsidR="00D93D01">
                                <w:t>guidance</w:t>
                              </w:r>
                              <w:r>
                                <w:t xml:space="preserve"> and their state’s UI benefit guidance. </w:t>
                              </w:r>
                            </w:p>
                            <w:p w14:paraId="6A459169" w14:textId="77777777" w:rsidR="002758A2" w:rsidRDefault="00D835CE" w:rsidP="002758A2">
                              <w:pPr>
                                <w:pStyle w:val="Checkbox"/>
                              </w:pPr>
                              <w:r>
                                <w:t xml:space="preserve">Employers should consider informing their employees of federal and state benefits that may be available to them if they are prevented from </w:t>
                              </w:r>
                              <w:r>
                                <w:t>working.</w:t>
                              </w:r>
                            </w:p>
                            <w:p w14:paraId="09E85FC2" w14:textId="77777777" w:rsidR="0024208C" w:rsidRPr="00D2167C" w:rsidRDefault="00D835CE" w:rsidP="00615F8A">
                              <w:pPr>
                                <w:pStyle w:val="Checkbox"/>
                              </w:pPr>
                              <w:r>
                                <w:t>Employers should continue to monitor developments related to COVID-19 for UI and other benefits.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width:612pt;height:242.85pt;margin-top:-0.5pt;margin-left:-35.4pt;mso-height-relative:margin;position:absolute;z-index:-251656192" coordsize="77723,30841">
                <v:group id="Group 15" o:spid="_x0000_s1027" style="width:77723;height:6376;position:absolute" coordsize="77723,63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width:77723;height:6352;mso-wrap-style:square;position:absolute;top:24;visibility:visible">
                    <v:imagedata r:id="rId1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width:22936;height:3428;left:53187;mso-wrap-style:square;position:absolute;visibility:visible;v-text-anchor:middle" filled="f" stroked="f">
                    <v:textbox>
                      <w:txbxContent>
                        <w:p w:rsidR="008864AB" w:rsidRPr="008864AB" w:rsidP="008864AB" w14:paraId="35EAEE53" w14:textId="5C971FC3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Action Steps</w:t>
                          </w:r>
                        </w:p>
                      </w:txbxContent>
                    </v:textbox>
                  </v:shape>
                </v:group>
                <v:shape id="_x0000_s1030" type="#_x0000_t202" style="width:23013;height:27108;left:52882;mso-wrap-style:square;position:absolute;top:3733;visibility:visible;v-text-anchor:top" filled="f" stroked="f">
                  <v:textbox>
                    <w:txbxContent>
                      <w:p w:rsidR="002758A2" w:rsidP="002758A2" w14:paraId="6ABFF4E4" w14:textId="2C9507B5">
                        <w:pPr>
                          <w:pStyle w:val="Checkbox"/>
                        </w:pPr>
                        <w:r w:rsidRPr="002758A2">
                          <w:t xml:space="preserve">Employers should </w:t>
                        </w:r>
                        <w:r>
                          <w:t xml:space="preserve">review the DOL’s </w:t>
                        </w:r>
                        <w:r w:rsidR="00D93D01">
                          <w:t>guidance</w:t>
                        </w:r>
                        <w:r>
                          <w:t xml:space="preserve"> and their state’s UI benefit guidance. </w:t>
                        </w:r>
                      </w:p>
                      <w:p w:rsidR="002758A2" w:rsidP="002758A2" w14:paraId="62B370C4" w14:textId="39728826">
                        <w:pPr>
                          <w:pStyle w:val="Checkbox"/>
                        </w:pPr>
                        <w:r>
                          <w:t>Employers should consider informing their employees of federal and state benefits that may be available to them if they are prevented from working.</w:t>
                        </w:r>
                      </w:p>
                      <w:p w:rsidR="0024208C" w:rsidRPr="00D2167C" w:rsidP="00615F8A" w14:paraId="7919BFB3" w14:textId="6C5562B9">
                        <w:pPr>
                          <w:pStyle w:val="Checkbox"/>
                        </w:pPr>
                        <w:r>
                          <w:t>Employers should continue to monitor developments related to COVID-19 for UI and other benefits.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15F8A">
        <w:t>State</w:t>
      </w:r>
      <w:r w:rsidR="00615F8A">
        <w:t>s</w:t>
      </w:r>
      <w:r w:rsidR="00A272C7" w:rsidRPr="00615F8A">
        <w:t xml:space="preserve"> Relax </w:t>
      </w:r>
      <w:r w:rsidR="00FA4074" w:rsidRPr="00615F8A">
        <w:t xml:space="preserve">Unemployment </w:t>
      </w:r>
      <w:r w:rsidR="00A272C7" w:rsidRPr="00615F8A">
        <w:t xml:space="preserve">Benefit Eligibility </w:t>
      </w:r>
      <w:r w:rsidR="00E85A00" w:rsidRPr="00615F8A">
        <w:t>for C</w:t>
      </w:r>
      <w:r w:rsidR="00846180">
        <w:t>oronavirus</w:t>
      </w:r>
      <w:r w:rsidR="00FA4074" w:rsidRPr="00615F8A">
        <w:t xml:space="preserve"> </w:t>
      </w:r>
      <w:r w:rsidR="00937E48" w:rsidRPr="00615F8A">
        <w:t xml:space="preserve"> </w:t>
      </w:r>
    </w:p>
    <w:p w14:paraId="71A8ED11" w14:textId="77777777" w:rsidR="00F7624F" w:rsidRDefault="00D835CE" w:rsidP="00F7624F">
      <w:pPr>
        <w:pStyle w:val="BodyText"/>
      </w:pPr>
      <w:bookmarkStart w:id="1" w:name="_Hlk31801183"/>
      <w:r w:rsidRPr="00F7624F">
        <w:t xml:space="preserve">As of </w:t>
      </w:r>
      <w:r w:rsidR="00E14386">
        <w:t>Wedne</w:t>
      </w:r>
      <w:r w:rsidR="00E85A00">
        <w:t xml:space="preserve">sday, </w:t>
      </w:r>
      <w:r w:rsidRPr="00F7624F">
        <w:t>March 1</w:t>
      </w:r>
      <w:r w:rsidR="00E14386">
        <w:t>8</w:t>
      </w:r>
      <w:r w:rsidRPr="00F7624F">
        <w:t>, 2020, several states hav</w:t>
      </w:r>
      <w:r>
        <w:t>e</w:t>
      </w:r>
      <w:r w:rsidRPr="00F7624F">
        <w:t xml:space="preserve"> </w:t>
      </w:r>
      <w:r>
        <w:t xml:space="preserve">announced adjustments to their </w:t>
      </w:r>
      <w:r w:rsidRPr="00F7624F">
        <w:t>un</w:t>
      </w:r>
      <w:r w:rsidRPr="00F7624F">
        <w:t xml:space="preserve">employment insurance (UI) </w:t>
      </w:r>
      <w:r>
        <w:t xml:space="preserve">programs </w:t>
      </w:r>
      <w:r w:rsidRPr="00F7624F">
        <w:t xml:space="preserve">for employees who are out of work because of the COVID-19 outbreak. </w:t>
      </w:r>
      <w:r w:rsidR="00A272C7">
        <w:t>These states include</w:t>
      </w:r>
      <w:r w:rsidRPr="00F7624F">
        <w:t xml:space="preserve"> </w:t>
      </w:r>
      <w:hyperlink r:id="rId13" w:history="1">
        <w:r w:rsidRPr="00F7624F">
          <w:rPr>
            <w:rStyle w:val="Hyperlink"/>
          </w:rPr>
          <w:t>Alabama</w:t>
        </w:r>
      </w:hyperlink>
      <w:r w:rsidRPr="00F7624F">
        <w:t xml:space="preserve">, </w:t>
      </w:r>
      <w:hyperlink r:id="rId14" w:history="1">
        <w:r w:rsidRPr="00F7624F">
          <w:rPr>
            <w:rStyle w:val="Hyperlink"/>
          </w:rPr>
          <w:t>California</w:t>
        </w:r>
      </w:hyperlink>
      <w:r w:rsidRPr="00F7624F">
        <w:t xml:space="preserve">, </w:t>
      </w:r>
      <w:hyperlink r:id="rId15" w:history="1">
        <w:r w:rsidRPr="00F7624F">
          <w:rPr>
            <w:rStyle w:val="Hyperlink"/>
          </w:rPr>
          <w:t>Louisiana</w:t>
        </w:r>
      </w:hyperlink>
      <w:r>
        <w:t xml:space="preserve">, </w:t>
      </w:r>
      <w:hyperlink r:id="rId16" w:history="1">
        <w:r w:rsidR="00E14386" w:rsidRPr="00E14386">
          <w:rPr>
            <w:rStyle w:val="Hyperlink"/>
          </w:rPr>
          <w:t>North Carolina</w:t>
        </w:r>
      </w:hyperlink>
      <w:r w:rsidR="00E14386">
        <w:t xml:space="preserve">, </w:t>
      </w:r>
      <w:hyperlink r:id="rId17" w:history="1">
        <w:r w:rsidRPr="00F7624F">
          <w:rPr>
            <w:rStyle w:val="Hyperlink"/>
          </w:rPr>
          <w:t>Pennsylvania</w:t>
        </w:r>
      </w:hyperlink>
      <w:r>
        <w:t xml:space="preserve"> </w:t>
      </w:r>
      <w:r w:rsidRPr="00F7624F">
        <w:t xml:space="preserve">and </w:t>
      </w:r>
      <w:hyperlink r:id="rId18" w:history="1">
        <w:r w:rsidRPr="00F7624F">
          <w:rPr>
            <w:rStyle w:val="Hyperlink"/>
          </w:rPr>
          <w:t>Wisconsin</w:t>
        </w:r>
      </w:hyperlink>
      <w:r w:rsidRPr="00F7624F">
        <w:t>.</w:t>
      </w:r>
      <w:r w:rsidR="00D93D01">
        <w:t xml:space="preserve"> </w:t>
      </w:r>
      <w:r w:rsidRPr="00F7624F">
        <w:t xml:space="preserve">Additional states </w:t>
      </w:r>
      <w:r w:rsidR="00A272C7">
        <w:t>are</w:t>
      </w:r>
      <w:r w:rsidR="00A272C7" w:rsidRPr="00F7624F">
        <w:t xml:space="preserve"> </w:t>
      </w:r>
      <w:r w:rsidRPr="00F7624F">
        <w:t xml:space="preserve">expected to issue </w:t>
      </w:r>
      <w:r>
        <w:t>similar</w:t>
      </w:r>
      <w:r w:rsidRPr="00F7624F">
        <w:t xml:space="preserve"> guidance </w:t>
      </w:r>
      <w:proofErr w:type="gramStart"/>
      <w:r w:rsidRPr="00F7624F">
        <w:t>in the near future</w:t>
      </w:r>
      <w:proofErr w:type="gramEnd"/>
      <w:r w:rsidRPr="00F7624F">
        <w:t xml:space="preserve">. </w:t>
      </w:r>
    </w:p>
    <w:p w14:paraId="789B87C7" w14:textId="77777777" w:rsidR="00615F8A" w:rsidRPr="00615F8A" w:rsidRDefault="00D835CE" w:rsidP="00615F8A">
      <w:pPr>
        <w:pStyle w:val="BodyText"/>
      </w:pPr>
      <w:r w:rsidRPr="00615F8A">
        <w:t xml:space="preserve">Each state administers a separate </w:t>
      </w:r>
      <w:r>
        <w:t>UI</w:t>
      </w:r>
      <w:r w:rsidRPr="00615F8A">
        <w:t xml:space="preserve"> program, but all states follow the same guidelines established by federal law.</w:t>
      </w:r>
    </w:p>
    <w:p w14:paraId="01B4DEFF" w14:textId="77777777" w:rsidR="002758A2" w:rsidRPr="00F7624F" w:rsidRDefault="00D835CE" w:rsidP="00615F8A">
      <w:pPr>
        <w:pStyle w:val="SubHeader"/>
      </w:pPr>
      <w:r>
        <w:t>Federal Bill</w:t>
      </w:r>
    </w:p>
    <w:p w14:paraId="12DBA04D" w14:textId="77777777" w:rsidR="00F7624F" w:rsidRDefault="00D835CE" w:rsidP="00F7624F">
      <w:pPr>
        <w:pStyle w:val="BodyText"/>
      </w:pPr>
      <w:r>
        <w:t>T</w:t>
      </w:r>
      <w:r w:rsidR="00E14386">
        <w:t>he U.S. Congress has passed</w:t>
      </w:r>
      <w:r w:rsidRPr="00F7624F">
        <w:t xml:space="preserve"> </w:t>
      </w:r>
      <w:r>
        <w:t xml:space="preserve">a </w:t>
      </w:r>
      <w:r w:rsidRPr="00F7624F">
        <w:t>bill that would encourage states to waive limitations on UI benefits (such as waiting weeks and work-search requirements) for COVID-19-related claims</w:t>
      </w:r>
      <w:r w:rsidR="00A272C7">
        <w:t xml:space="preserve">. </w:t>
      </w:r>
      <w:r w:rsidRPr="00F7624F">
        <w:t xml:space="preserve">If </w:t>
      </w:r>
      <w:r w:rsidR="00EB7045">
        <w:t>enacted</w:t>
      </w:r>
      <w:r w:rsidRPr="00F7624F">
        <w:t xml:space="preserve">, the </w:t>
      </w:r>
      <w:hyperlink r:id="rId19" w:history="1">
        <w:r w:rsidRPr="00F7624F">
          <w:rPr>
            <w:rStyle w:val="Hyperlink"/>
          </w:rPr>
          <w:t>Families First Coronavirus Response Act</w:t>
        </w:r>
      </w:hyperlink>
      <w:r w:rsidRPr="00F7624F">
        <w:t xml:space="preserve"> would also </w:t>
      </w:r>
      <w:r w:rsidR="00EB7045">
        <w:t>provide</w:t>
      </w:r>
      <w:r w:rsidRPr="00F7624F">
        <w:t xml:space="preserve"> federal funds to help states pay for increased UI claims caused by the outbreak.  </w:t>
      </w:r>
    </w:p>
    <w:p w14:paraId="0EA15E47" w14:textId="77777777" w:rsidR="002758A2" w:rsidRPr="00F7624F" w:rsidRDefault="00D835CE" w:rsidP="00615F8A">
      <w:pPr>
        <w:pStyle w:val="SubHeader"/>
      </w:pPr>
      <w:r>
        <w:t>DOL Guidance</w:t>
      </w:r>
    </w:p>
    <w:p w14:paraId="5FAA8C07" w14:textId="77777777" w:rsidR="00F7624F" w:rsidRPr="00F7624F" w:rsidRDefault="00D835CE" w:rsidP="00F7624F">
      <w:pPr>
        <w:pStyle w:val="BodyText"/>
      </w:pPr>
      <w:r w:rsidRPr="00F7624F">
        <w:t>The</w:t>
      </w:r>
      <w:r>
        <w:t xml:space="preserve"> ongoing</w:t>
      </w:r>
      <w:r w:rsidRPr="00F7624F">
        <w:t xml:space="preserve"> wave of state</w:t>
      </w:r>
      <w:r w:rsidR="00A272C7">
        <w:t xml:space="preserve"> adjustments to their </w:t>
      </w:r>
      <w:r>
        <w:t>UI benefits</w:t>
      </w:r>
      <w:r w:rsidRPr="00F7624F">
        <w:t xml:space="preserve"> follows </w:t>
      </w:r>
      <w:hyperlink r:id="rId20" w:history="1">
        <w:r w:rsidR="00D93D01" w:rsidRPr="00D93D01">
          <w:rPr>
            <w:rStyle w:val="Hyperlink"/>
          </w:rPr>
          <w:t>new guidance</w:t>
        </w:r>
      </w:hyperlink>
      <w:r w:rsidR="00D93D01">
        <w:t xml:space="preserve"> </w:t>
      </w:r>
      <w:r w:rsidRPr="00F7624F">
        <w:t xml:space="preserve"> </w:t>
      </w:r>
      <w:r w:rsidR="00D93D01">
        <w:t xml:space="preserve">from </w:t>
      </w:r>
      <w:r w:rsidRPr="00F7624F">
        <w:t>the U.S. Department of Labor (DOL)</w:t>
      </w:r>
      <w:r w:rsidR="00615F8A">
        <w:t>. O</w:t>
      </w:r>
      <w:r w:rsidRPr="00F7624F">
        <w:t xml:space="preserve">n March 12, 2020, </w:t>
      </w:r>
      <w:r w:rsidR="00615F8A">
        <w:t xml:space="preserve">the DOL indicated </w:t>
      </w:r>
      <w:r>
        <w:t>that</w:t>
      </w:r>
      <w:r w:rsidRPr="00F7624F">
        <w:t xml:space="preserve"> states may allow for UI benefits where: </w:t>
      </w:r>
    </w:p>
    <w:p w14:paraId="2CCAD843" w14:textId="77777777" w:rsidR="00577511" w:rsidRPr="00F7624F" w:rsidRDefault="00D835CE" w:rsidP="00F7624F">
      <w:pPr>
        <w:pStyle w:val="BulletLi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E0A8D7" wp14:editId="1BBA2C28">
                <wp:simplePos x="0" y="0"/>
                <wp:positionH relativeFrom="column">
                  <wp:posOffset>-502285</wp:posOffset>
                </wp:positionH>
                <wp:positionV relativeFrom="paragraph">
                  <wp:posOffset>163195</wp:posOffset>
                </wp:positionV>
                <wp:extent cx="7771765" cy="277050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2770505"/>
                          <a:chOff x="3658" y="0"/>
                          <a:chExt cx="7764448" cy="2456551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8" y="0"/>
                            <a:ext cx="7764448" cy="6299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1905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4806BF" w14:textId="77777777" w:rsidR="00A47C53" w:rsidRPr="00A47C53" w:rsidRDefault="00D835CE" w:rsidP="00CF5E21">
                              <w:pPr>
                                <w:pStyle w:val="CallOutBox"/>
                              </w:pPr>
                              <w:r w:rsidRPr="00F7624F">
                                <w:t xml:space="preserve">States may allow employees to receive </w:t>
                              </w:r>
                              <w:r w:rsidR="009564E8" w:rsidRPr="00F7624F">
                                <w:t>UI benefits for closures, quarantines and unpaid leaves related to COVID-19</w:t>
                              </w: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1" style="width:611.95pt;height:218.15pt;margin-top:12.85pt;margin-left:-39.55pt;mso-height-relative:margin;position:absolute;z-index:-251654144" coordorigin="36,0" coordsize="77644,24565">
                <v:shape id="Picture 5" o:spid="_x0000_s1032" type="#_x0000_t75" style="width:77645;height:6299;left:36;mso-wrap-style:square;position:absolute;visibility:visible">
                  <v:imagedata r:id="rId22" o:title=""/>
                </v:shape>
                <v:shape id="_x0000_s1033" type="#_x0000_t202" style="width:22936;height:24546;left:53187;mso-wrap-style:square;position:absolute;top:19;visibility:visible;v-text-anchor:middle" filled="f" stroked="f">
                  <v:textbox>
                    <w:txbxContent>
                      <w:p w:rsidR="00A47C53" w:rsidRPr="00A47C53" w:rsidP="00CF5E21" w14:paraId="793BF136" w14:textId="4CB2FDCE">
                        <w:pPr>
                          <w:pStyle w:val="CallOutBox"/>
                        </w:pPr>
                        <w:r w:rsidRPr="00F7624F">
                          <w:t xml:space="preserve">States may allow employees to receive </w:t>
                        </w:r>
                        <w:r w:rsidRPr="00F7624F" w:rsidR="009564E8">
                          <w:t>UI benefits for closures, quarantines and unpaid leaves related to COVID-19</w:t>
                        </w:r>
                        <w: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64E8" w:rsidRPr="00F7624F">
        <w:t xml:space="preserve">An employer temporarily ceases operations </w:t>
      </w:r>
      <w:r w:rsidR="00A272C7">
        <w:t xml:space="preserve">to prevent </w:t>
      </w:r>
      <w:r w:rsidR="002758A2" w:rsidRPr="00F7624F">
        <w:t xml:space="preserve">employees from coming to work </w:t>
      </w:r>
      <w:r w:rsidR="009564E8" w:rsidRPr="00F7624F">
        <w:t xml:space="preserve">due to COVID-19; </w:t>
      </w:r>
    </w:p>
    <w:p w14:paraId="7CD75582" w14:textId="77777777" w:rsidR="00577511" w:rsidRPr="00F7624F" w:rsidRDefault="00D835CE" w:rsidP="00F7624F">
      <w:pPr>
        <w:pStyle w:val="BulletList"/>
      </w:pPr>
      <w:r w:rsidRPr="00F7624F">
        <w:t>An individual is quarantined with the e</w:t>
      </w:r>
      <w:r w:rsidRPr="00F7624F">
        <w:t xml:space="preserve">xpectation of returning to work after the quarantine is over; and </w:t>
      </w:r>
    </w:p>
    <w:p w14:paraId="6BF84DE4" w14:textId="77777777" w:rsidR="00577511" w:rsidRPr="00F7624F" w:rsidRDefault="00D835CE" w:rsidP="00F7624F">
      <w:pPr>
        <w:pStyle w:val="BulletList"/>
      </w:pPr>
      <w:r w:rsidRPr="00F7624F">
        <w:t>An individual leaves employment due to a risk of exposure or infection</w:t>
      </w:r>
      <w:r w:rsidR="002758A2">
        <w:t>,</w:t>
      </w:r>
      <w:r w:rsidRPr="00F7624F">
        <w:t xml:space="preserve"> or to care for a family member</w:t>
      </w:r>
      <w:r w:rsidR="00E9200F">
        <w:t xml:space="preserve"> affected by COVID-19</w:t>
      </w:r>
      <w:r w:rsidRPr="00F7624F">
        <w:t xml:space="preserve">. </w:t>
      </w:r>
    </w:p>
    <w:p w14:paraId="2FD112CC" w14:textId="77777777" w:rsidR="004D038B" w:rsidRDefault="00D835CE" w:rsidP="00F7624F">
      <w:pPr>
        <w:pStyle w:val="BodyText"/>
        <w:spacing w:before="160"/>
      </w:pPr>
      <w:r w:rsidRPr="00F7624F">
        <w:t>The DOL</w:t>
      </w:r>
      <w:r w:rsidR="002758A2">
        <w:t xml:space="preserve"> has </w:t>
      </w:r>
      <w:r w:rsidRPr="00F7624F">
        <w:t xml:space="preserve">also </w:t>
      </w:r>
      <w:r w:rsidR="002758A2" w:rsidRPr="00F7624F">
        <w:t>clarifie</w:t>
      </w:r>
      <w:r w:rsidR="002758A2">
        <w:t>d</w:t>
      </w:r>
      <w:r w:rsidR="002758A2" w:rsidRPr="00F7624F">
        <w:t xml:space="preserve"> </w:t>
      </w:r>
      <w:r w:rsidRPr="00F7624F">
        <w:t>that an employee</w:t>
      </w:r>
      <w:r w:rsidR="002758A2">
        <w:t xml:space="preserve"> is not required</w:t>
      </w:r>
      <w:r w:rsidRPr="00F7624F">
        <w:t xml:space="preserve"> to </w:t>
      </w:r>
      <w:r w:rsidRPr="00F7624F">
        <w:t>quit in order to receive benefits due to COVID-19</w:t>
      </w:r>
      <w:r>
        <w:t xml:space="preserve">. </w:t>
      </w:r>
      <w:r w:rsidR="00FA6000">
        <w:t xml:space="preserve"> </w:t>
      </w:r>
    </w:p>
    <w:bookmarkEnd w:id="1"/>
    <w:p w14:paraId="02CAF667" w14:textId="77777777" w:rsidR="008A7E71" w:rsidRPr="004967FA" w:rsidRDefault="00D835CE" w:rsidP="004967FA">
      <w:pPr>
        <w:pStyle w:val="BodyText"/>
      </w:pPr>
      <w:r w:rsidRPr="00A86DF6">
        <w:t xml:space="preserve">  </w:t>
      </w:r>
      <w:r w:rsidR="008F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CAB29" wp14:editId="427F1950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A97021" w14:textId="77777777" w:rsidR="008F7B15" w:rsidRPr="008864AB" w:rsidRDefault="00D835CE" w:rsidP="008F7B15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CB623A">
                              <w:rPr>
                                <w:b/>
                                <w:color w:val="6F61B0"/>
                                <w:sz w:val="20"/>
                                <w:szCs w:val="20"/>
                              </w:rPr>
                              <w:t>Lipscomb &amp; Pitts Insurance,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width:347.2pt;height:42.4pt;margin-top:478.3pt;margin-left:0;mso-height-percent:0;mso-height-relative:margin;mso-position-horizontal:right;mso-position-horizontal-relative:margin;mso-position-vertical-relative:margin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8F7B15" w:rsidRPr="008864AB" w:rsidP="008F7B15" w14:paraId="5114F6DE" w14:textId="77777777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CB623A">
                        <w:rPr>
                          <w:b/>
                          <w:color w:val="6F61B0"/>
                          <w:sz w:val="20"/>
                          <w:szCs w:val="20"/>
                        </w:rPr>
                        <w:t>Lipscomb &amp; Pitts Insurance, LLC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A7E71" w:rsidRPr="004967FA" w:rsidSect="008A7E71">
      <w:headerReference w:type="default" r:id="rId23"/>
      <w:footerReference w:type="default" r:id="rId24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72094" w14:textId="77777777" w:rsidR="00000000" w:rsidRDefault="00D835CE">
      <w:pPr>
        <w:spacing w:after="0" w:line="240" w:lineRule="auto"/>
      </w:pPr>
      <w:r>
        <w:separator/>
      </w:r>
    </w:p>
  </w:endnote>
  <w:endnote w:type="continuationSeparator" w:id="0">
    <w:p w14:paraId="37A59394" w14:textId="77777777" w:rsidR="00000000" w:rsidRDefault="00D8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8D27E" w14:textId="77777777" w:rsidR="0098636D" w:rsidRDefault="00D835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2DB74F" wp14:editId="20DE1643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7437A5" w14:textId="77777777" w:rsidR="00796AD3" w:rsidRPr="00817EEE" w:rsidRDefault="00D835CE" w:rsidP="00796AD3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©20</w:t>
                          </w:r>
                          <w:r w:rsidR="00A86DF6">
                            <w:t>20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14:paraId="6387BD89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697F0FB4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4A8A4B8D" w14:textId="77777777" w:rsidR="008F7B15" w:rsidRPr="00947E11" w:rsidRDefault="008F7B15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2050" type="#_x0000_t202" style="width:372.6pt;height:43.8pt;margin-top:-23.15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>
                <w:txbxContent>
                  <w:p w:rsidR="00796AD3" w:rsidRPr="00817EEE" w:rsidP="00796AD3" w14:paraId="1676E602" w14:textId="77777777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©20</w:t>
                    </w:r>
                    <w:r w:rsidR="00A86DF6">
                      <w:t>20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:rsidR="00796AD3" w:rsidRPr="00947E11" w:rsidP="00796AD3" w14:paraId="6A628F8C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796AD3" w:rsidRPr="00947E11" w:rsidP="00796AD3" w14:paraId="6229F03C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8F7B15" w:rsidRPr="00947E11" w:rsidP="008F7B15" w14:paraId="7DF209BB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8C38A" wp14:editId="02422548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127271273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6F61B0">
                            <a:alpha val="75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3360" from="0.6pt,475.9pt" to="344.4pt,475.9pt" strokecolor="#6f61b0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9264" behindDoc="1" locked="0" layoutInCell="1" allowOverlap="1" wp14:anchorId="3E9CEBB6" wp14:editId="250B8A91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366179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EE9A" w14:textId="77777777" w:rsidR="00000000" w:rsidRDefault="00D835CE">
      <w:pPr>
        <w:spacing w:after="0" w:line="240" w:lineRule="auto"/>
      </w:pPr>
      <w:r>
        <w:separator/>
      </w:r>
    </w:p>
  </w:footnote>
  <w:footnote w:type="continuationSeparator" w:id="0">
    <w:p w14:paraId="01413450" w14:textId="77777777" w:rsidR="00000000" w:rsidRDefault="00D8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4872" w14:textId="77777777" w:rsidR="0098636D" w:rsidRDefault="00D835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D83DA8" wp14:editId="28C24F0B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5" cy="3856497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3856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15F19E2" wp14:editId="7870D87A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733C71" w14:textId="77777777" w:rsidR="00D35AF9" w:rsidRPr="00D35AF9" w:rsidRDefault="00D835CE" w:rsidP="00D35AF9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90pt;height:25.95pt;margin-top:200.8pt;margin-left:5in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<v:textbox>
                <w:txbxContent>
                  <w:p w:rsidR="00D35AF9" w:rsidRPr="00D35AF9" w:rsidP="00D35AF9" w14:paraId="6687257F" w14:textId="77777777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91.25pt;height:629.25pt" o:bullet="t">
        <v:imagedata r:id="rId1" o:title="Checkmark_BLUE"/>
      </v:shape>
    </w:pict>
  </w:numPicBullet>
  <w:abstractNum w:abstractNumId="0" w15:restartNumberingAfterBreak="0">
    <w:nsid w:val="11E95063"/>
    <w:multiLevelType w:val="hybridMultilevel"/>
    <w:tmpl w:val="C8E82882"/>
    <w:lvl w:ilvl="0" w:tplc="117E7ED8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6F61B0"/>
      </w:rPr>
    </w:lvl>
    <w:lvl w:ilvl="1" w:tplc="B824D2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E7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2B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0B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C0A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A9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29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02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686"/>
    <w:multiLevelType w:val="hybridMultilevel"/>
    <w:tmpl w:val="409AC006"/>
    <w:lvl w:ilvl="0" w:tplc="033C5640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 w:tplc="6C520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67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E2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A0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A1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81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8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A5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C28BA"/>
    <w:multiLevelType w:val="hybridMultilevel"/>
    <w:tmpl w:val="AD9240F0"/>
    <w:lvl w:ilvl="0" w:tplc="2BC23D70">
      <w:start w:val="1"/>
      <w:numFmt w:val="bullet"/>
      <w:pStyle w:val="H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AF0110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B06B4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06DD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BA7E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3EBB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7CBF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D9073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2A1E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80509C"/>
    <w:multiLevelType w:val="multilevel"/>
    <w:tmpl w:val="0409001D"/>
    <w:numStyleLink w:val="Style3"/>
  </w:abstractNum>
  <w:abstractNum w:abstractNumId="4" w15:restartNumberingAfterBreak="0">
    <w:nsid w:val="4C8601A1"/>
    <w:multiLevelType w:val="hybridMultilevel"/>
    <w:tmpl w:val="43CE94D6"/>
    <w:lvl w:ilvl="0" w:tplc="1DF0D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6E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EE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C7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2C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6B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A5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03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E8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24744"/>
    <w:multiLevelType w:val="hybridMultilevel"/>
    <w:tmpl w:val="D67CDEAC"/>
    <w:lvl w:ilvl="0" w:tplc="465202F6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1AFA3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E6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6D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CD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42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24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62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AA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F0980"/>
    <w:multiLevelType w:val="multilevel"/>
    <w:tmpl w:val="0409001D"/>
    <w:styleLink w:val="Style3"/>
    <w:lvl w:ilvl="0">
      <w:start w:val="1"/>
      <w:numFmt w:val="bullet"/>
      <w:pStyle w:val="Checkmark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A8"/>
    <w:rsid w:val="00021616"/>
    <w:rsid w:val="00025ADE"/>
    <w:rsid w:val="00036C2E"/>
    <w:rsid w:val="00040891"/>
    <w:rsid w:val="000B0BC2"/>
    <w:rsid w:val="001048C2"/>
    <w:rsid w:val="001050A8"/>
    <w:rsid w:val="0012162D"/>
    <w:rsid w:val="00154A85"/>
    <w:rsid w:val="001631A4"/>
    <w:rsid w:val="001725D9"/>
    <w:rsid w:val="00195818"/>
    <w:rsid w:val="00197131"/>
    <w:rsid w:val="001B1A7E"/>
    <w:rsid w:val="001C218D"/>
    <w:rsid w:val="001D65A8"/>
    <w:rsid w:val="001E2D65"/>
    <w:rsid w:val="002031F5"/>
    <w:rsid w:val="0024113C"/>
    <w:rsid w:val="0024208C"/>
    <w:rsid w:val="00246124"/>
    <w:rsid w:val="0026000D"/>
    <w:rsid w:val="002758A2"/>
    <w:rsid w:val="00277B90"/>
    <w:rsid w:val="00277FA5"/>
    <w:rsid w:val="002B61D1"/>
    <w:rsid w:val="002E6DA1"/>
    <w:rsid w:val="002F786C"/>
    <w:rsid w:val="00305885"/>
    <w:rsid w:val="00322C78"/>
    <w:rsid w:val="003267EB"/>
    <w:rsid w:val="0036117A"/>
    <w:rsid w:val="003A6B72"/>
    <w:rsid w:val="003B4EB6"/>
    <w:rsid w:val="003F594C"/>
    <w:rsid w:val="003F6BAC"/>
    <w:rsid w:val="0041673B"/>
    <w:rsid w:val="00460431"/>
    <w:rsid w:val="0048508B"/>
    <w:rsid w:val="00485C3A"/>
    <w:rsid w:val="004967FA"/>
    <w:rsid w:val="004B125C"/>
    <w:rsid w:val="004C1B44"/>
    <w:rsid w:val="004C2648"/>
    <w:rsid w:val="004D038B"/>
    <w:rsid w:val="004D34B3"/>
    <w:rsid w:val="004D5C88"/>
    <w:rsid w:val="004F2977"/>
    <w:rsid w:val="00504B71"/>
    <w:rsid w:val="0055795E"/>
    <w:rsid w:val="00577511"/>
    <w:rsid w:val="00584B55"/>
    <w:rsid w:val="005957E6"/>
    <w:rsid w:val="005B0143"/>
    <w:rsid w:val="005C1242"/>
    <w:rsid w:val="005D05D9"/>
    <w:rsid w:val="00615F8A"/>
    <w:rsid w:val="00616F1D"/>
    <w:rsid w:val="0066265A"/>
    <w:rsid w:val="006A2A41"/>
    <w:rsid w:val="006B7E23"/>
    <w:rsid w:val="006E58BE"/>
    <w:rsid w:val="00707343"/>
    <w:rsid w:val="00770406"/>
    <w:rsid w:val="00776CE1"/>
    <w:rsid w:val="0078054B"/>
    <w:rsid w:val="00787BC9"/>
    <w:rsid w:val="00796AD3"/>
    <w:rsid w:val="007C2CD2"/>
    <w:rsid w:val="00802FF0"/>
    <w:rsid w:val="00812F36"/>
    <w:rsid w:val="00817EEE"/>
    <w:rsid w:val="00826A16"/>
    <w:rsid w:val="00830BF9"/>
    <w:rsid w:val="00846180"/>
    <w:rsid w:val="00855DD7"/>
    <w:rsid w:val="00856044"/>
    <w:rsid w:val="00860033"/>
    <w:rsid w:val="00871E9E"/>
    <w:rsid w:val="00873315"/>
    <w:rsid w:val="00884D22"/>
    <w:rsid w:val="008864AB"/>
    <w:rsid w:val="008A7E71"/>
    <w:rsid w:val="008B1A4D"/>
    <w:rsid w:val="008B3631"/>
    <w:rsid w:val="008C1A6E"/>
    <w:rsid w:val="008D5588"/>
    <w:rsid w:val="008F7B15"/>
    <w:rsid w:val="00926535"/>
    <w:rsid w:val="00937E48"/>
    <w:rsid w:val="009440BA"/>
    <w:rsid w:val="00947E11"/>
    <w:rsid w:val="009564E8"/>
    <w:rsid w:val="0098636D"/>
    <w:rsid w:val="00991F5E"/>
    <w:rsid w:val="00993033"/>
    <w:rsid w:val="009B0D33"/>
    <w:rsid w:val="009D4BB6"/>
    <w:rsid w:val="009E2B6A"/>
    <w:rsid w:val="009E4DC9"/>
    <w:rsid w:val="009F21F2"/>
    <w:rsid w:val="009F481C"/>
    <w:rsid w:val="00A07B69"/>
    <w:rsid w:val="00A27173"/>
    <w:rsid w:val="00A272C7"/>
    <w:rsid w:val="00A337BD"/>
    <w:rsid w:val="00A47C53"/>
    <w:rsid w:val="00A65FD8"/>
    <w:rsid w:val="00A7682D"/>
    <w:rsid w:val="00A85321"/>
    <w:rsid w:val="00A86DF6"/>
    <w:rsid w:val="00AC78C5"/>
    <w:rsid w:val="00AD0649"/>
    <w:rsid w:val="00AF2F79"/>
    <w:rsid w:val="00B004A1"/>
    <w:rsid w:val="00B005AE"/>
    <w:rsid w:val="00B0625F"/>
    <w:rsid w:val="00B17A67"/>
    <w:rsid w:val="00B20A6C"/>
    <w:rsid w:val="00B23406"/>
    <w:rsid w:val="00BA7D47"/>
    <w:rsid w:val="00BB67D2"/>
    <w:rsid w:val="00BC5032"/>
    <w:rsid w:val="00BE45C1"/>
    <w:rsid w:val="00C04E38"/>
    <w:rsid w:val="00C30DB5"/>
    <w:rsid w:val="00C66AD8"/>
    <w:rsid w:val="00C741AE"/>
    <w:rsid w:val="00C83EA5"/>
    <w:rsid w:val="00CA3B54"/>
    <w:rsid w:val="00CB623A"/>
    <w:rsid w:val="00CF5E21"/>
    <w:rsid w:val="00D1053C"/>
    <w:rsid w:val="00D2167C"/>
    <w:rsid w:val="00D35AF9"/>
    <w:rsid w:val="00D379D5"/>
    <w:rsid w:val="00D676F0"/>
    <w:rsid w:val="00D76FCB"/>
    <w:rsid w:val="00D835CE"/>
    <w:rsid w:val="00D90141"/>
    <w:rsid w:val="00D93D01"/>
    <w:rsid w:val="00DC3880"/>
    <w:rsid w:val="00E14386"/>
    <w:rsid w:val="00E16E6C"/>
    <w:rsid w:val="00E378E3"/>
    <w:rsid w:val="00E66300"/>
    <w:rsid w:val="00E73236"/>
    <w:rsid w:val="00E85A00"/>
    <w:rsid w:val="00E9200F"/>
    <w:rsid w:val="00EB7045"/>
    <w:rsid w:val="00EC14A2"/>
    <w:rsid w:val="00EC2053"/>
    <w:rsid w:val="00ED754F"/>
    <w:rsid w:val="00F0255B"/>
    <w:rsid w:val="00F32D2D"/>
    <w:rsid w:val="00F32F5A"/>
    <w:rsid w:val="00F70C9B"/>
    <w:rsid w:val="00F7109F"/>
    <w:rsid w:val="00F747EA"/>
    <w:rsid w:val="00F7624F"/>
    <w:rsid w:val="00FA4074"/>
    <w:rsid w:val="00FA6000"/>
    <w:rsid w:val="00FA7F8C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F51D10"/>
  <w15:chartTrackingRefBased/>
  <w15:docId w15:val="{81E7CD7E-B552-4FFF-B43F-CB721F4F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CB623A"/>
    <w:pPr>
      <w:spacing w:after="120" w:line="228" w:lineRule="auto"/>
    </w:pPr>
    <w:rPr>
      <w:b/>
      <w:color w:val="6F61B0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CB623A"/>
    <w:rPr>
      <w:b/>
      <w:color w:val="6F61B0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qFormat/>
    <w:rsid w:val="00615F8A"/>
    <w:pPr>
      <w:numPr>
        <w:numId w:val="1"/>
      </w:numPr>
      <w:ind w:left="547"/>
      <w:contextualSpacing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615F8A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B623A"/>
    <w:pPr>
      <w:jc w:val="center"/>
    </w:pPr>
    <w:rPr>
      <w:b/>
      <w:i/>
      <w:color w:val="6F61B0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CB623A"/>
    <w:rPr>
      <w:b/>
      <w:i/>
      <w:color w:val="6F61B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86D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DF6"/>
    <w:rPr>
      <w:color w:val="605E5C"/>
      <w:shd w:val="clear" w:color="auto" w:fill="E1DFDD"/>
    </w:rPr>
  </w:style>
  <w:style w:type="paragraph" w:customStyle="1" w:styleId="Checkmark">
    <w:name w:val="Check mark"/>
    <w:basedOn w:val="ListParagraph"/>
    <w:link w:val="CheckmarkChar"/>
    <w:qFormat/>
    <w:rsid w:val="00A86DF6"/>
    <w:pPr>
      <w:numPr>
        <w:numId w:val="6"/>
      </w:numPr>
      <w:ind w:left="720"/>
      <w:contextualSpacing w:val="0"/>
    </w:pPr>
    <w:rPr>
      <w:rFonts w:ascii="Calibri" w:eastAsia="Calibri" w:hAnsi="Calibri" w:cs="Times New Roman"/>
      <w:color w:val="595959"/>
      <w:sz w:val="24"/>
    </w:rPr>
  </w:style>
  <w:style w:type="numbering" w:customStyle="1" w:styleId="Style3">
    <w:name w:val="Style3"/>
    <w:uiPriority w:val="99"/>
    <w:rsid w:val="00A86DF6"/>
    <w:pPr>
      <w:numPr>
        <w:numId w:val="6"/>
      </w:numPr>
    </w:pPr>
  </w:style>
  <w:style w:type="character" w:customStyle="1" w:styleId="CheckmarkChar">
    <w:name w:val="Check mark Char"/>
    <w:link w:val="Checkmark"/>
    <w:rsid w:val="00A86DF6"/>
    <w:rPr>
      <w:rFonts w:ascii="Calibri" w:eastAsia="Calibri" w:hAnsi="Calibri" w:cs="Times New Roman"/>
      <w:color w:val="595959"/>
      <w:sz w:val="24"/>
    </w:rPr>
  </w:style>
  <w:style w:type="paragraph" w:customStyle="1" w:styleId="HBullets">
    <w:name w:val="H Bullets"/>
    <w:basedOn w:val="ListParagraph"/>
    <w:link w:val="HBulletsChar"/>
    <w:qFormat/>
    <w:rsid w:val="00A86DF6"/>
    <w:pPr>
      <w:numPr>
        <w:numId w:val="7"/>
      </w:numPr>
      <w:ind w:left="360"/>
      <w:contextualSpacing w:val="0"/>
    </w:pPr>
    <w:rPr>
      <w:rFonts w:ascii="Calibri" w:eastAsia="Calibri" w:hAnsi="Calibri" w:cs="Times New Roman"/>
      <w:color w:val="FFFFFF"/>
      <w:sz w:val="24"/>
      <w:szCs w:val="24"/>
    </w:rPr>
  </w:style>
  <w:style w:type="character" w:customStyle="1" w:styleId="HBulletsChar">
    <w:name w:val="H Bullets Char"/>
    <w:link w:val="HBullets"/>
    <w:rsid w:val="00A86DF6"/>
    <w:rPr>
      <w:rFonts w:ascii="Calibri" w:eastAsia="Calibri" w:hAnsi="Calibri" w:cs="Times New Roman"/>
      <w:color w:val="FFFFFF"/>
      <w:sz w:val="24"/>
      <w:szCs w:val="24"/>
    </w:rPr>
  </w:style>
  <w:style w:type="paragraph" w:styleId="ListParagraph">
    <w:name w:val="List Paragraph"/>
    <w:basedOn w:val="Normal"/>
    <w:uiPriority w:val="34"/>
    <w:rsid w:val="00A86D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01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3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F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F594C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594C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5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abor.alabama.gov/Coronavirus%20Unemployment%20Benefits%20FAQ.pdf" TargetMode="External"/><Relationship Id="rId18" Type="http://schemas.openxmlformats.org/officeDocument/2006/relationships/hyperlink" Target="https://dwd.wisconsin.gov/covid19/public/ui.ht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hyperlink" Target="https://www.uc.pa.gov/Pages/default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es.nc.gov/need-help/covid-19-information" TargetMode="External"/><Relationship Id="rId20" Type="http://schemas.openxmlformats.org/officeDocument/2006/relationships/hyperlink" Target="https://www.dol.gov/newsroom/releases/eta/eta20200312-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wafb.com/2020/03/16/guidance-la-workers-seeking-make-unemployment-claims-because-covid-pandemic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congress.gov/bill/116th-congress/house-bill/620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ca.gov/2020/03/12/governor-newsom-issues-new-executive-order-further-enhancing-state-and-local-governments-ability-to-respond-to-covid-19-pandemic/" TargetMode="External"/><Relationship Id="rId22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Legal%20Content\2019%20Compliance%20Docs%20Redesign\Legal%20Update\HR_Legal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FF71A25DCA479CFB1C6A18B1327A" ma:contentTypeVersion="10" ma:contentTypeDescription="Create a new document." ma:contentTypeScope="" ma:versionID="e19db147e6aefa16a1e2bfab47940eb6">
  <xsd:schema xmlns:xsd="http://www.w3.org/2001/XMLSchema" xmlns:xs="http://www.w3.org/2001/XMLSchema" xmlns:p="http://schemas.microsoft.com/office/2006/metadata/properties" xmlns:ns3="3b1777c5-690f-4c7c-a94d-4fbf036b6791" targetNamespace="http://schemas.microsoft.com/office/2006/metadata/properties" ma:root="true" ma:fieldsID="6ac31eb1f319de5098007de14b69a274" ns3:_="">
    <xsd:import namespace="3b1777c5-690f-4c7c-a94d-4fbf036b6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77c5-690f-4c7c-a94d-4fbf036b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F64DC-6BEB-4108-813E-01CE23405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777c5-690f-4c7c-a94d-4fbf036b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BC3F4-51BB-41C1-92BE-70E6CDA2F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43986-F429-4A7A-A800-70022ADF66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1777c5-690f-4c7c-a94d-4fbf036b6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HR_Legal Update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Poniewaz, Carrie May</dc:creator>
  <cp:lastModifiedBy>Sarah Gillespie</cp:lastModifiedBy>
  <cp:revision>2</cp:revision>
  <dcterms:created xsi:type="dcterms:W3CDTF">2020-03-19T19:23:00Z</dcterms:created>
  <dcterms:modified xsi:type="dcterms:W3CDTF">2020-03-19T19:23:00Z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0x010100B496FF71A25DCA479CFB1C6A18B1327A</vt:lpwstr>
  </property>
</Properties>
</file>